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C417D" w14:textId="77777777" w:rsidR="00D67848" w:rsidRPr="00D96A39" w:rsidRDefault="00D67848" w:rsidP="00D67848">
      <w:pPr>
        <w:jc w:val="center"/>
        <w:rPr>
          <w:rFonts w:ascii="Times New Roman" w:eastAsiaTheme="majorEastAsia" w:hAnsi="Times New Roman" w:cs="Times New Roman"/>
          <w:b/>
          <w:sz w:val="36"/>
          <w:szCs w:val="36"/>
        </w:rPr>
      </w:pPr>
      <w:bookmarkStart w:id="0" w:name="_Hlk13139114"/>
      <w:bookmarkStart w:id="1" w:name="_Toc297019281"/>
      <w:bookmarkEnd w:id="0"/>
      <w:r w:rsidRPr="00D96A39">
        <w:rPr>
          <w:rFonts w:ascii="Times New Roman" w:eastAsiaTheme="majorEastAsia" w:hAnsi="Times New Roman" w:cs="Times New Roman"/>
          <w:b/>
          <w:sz w:val="36"/>
          <w:szCs w:val="36"/>
        </w:rPr>
        <w:t>UNIVERSITA’ DEGLI STUDI DI GENOVA</w:t>
      </w:r>
    </w:p>
    <w:p w14:paraId="6B092CA1" w14:textId="77777777" w:rsidR="00D67848" w:rsidRPr="00D96A39" w:rsidRDefault="00D67848" w:rsidP="00D67848">
      <w:pPr>
        <w:jc w:val="center"/>
        <w:rPr>
          <w:rFonts w:ascii="Times New Roman" w:eastAsiaTheme="majorEastAsia" w:hAnsi="Times New Roman" w:cs="Times New Roman"/>
          <w:b/>
          <w:sz w:val="36"/>
          <w:szCs w:val="36"/>
        </w:rPr>
      </w:pPr>
      <w:r w:rsidRPr="00D96A39">
        <w:rPr>
          <w:rFonts w:ascii="Times New Roman" w:eastAsiaTheme="majorEastAsia" w:hAnsi="Times New Roman" w:cs="Times New Roman"/>
          <w:b/>
          <w:sz w:val="36"/>
          <w:szCs w:val="36"/>
        </w:rPr>
        <w:t>FACOLTA’ DI MEDICINA E CHIRURGIA</w:t>
      </w:r>
    </w:p>
    <w:p w14:paraId="5A01FC9F" w14:textId="77777777" w:rsidR="00D67848" w:rsidRPr="003D60C8" w:rsidRDefault="00D67848" w:rsidP="00D67848">
      <w:pPr>
        <w:rPr>
          <w:rFonts w:eastAsiaTheme="majorEastAsia"/>
        </w:rPr>
      </w:pPr>
    </w:p>
    <w:p w14:paraId="19453B67" w14:textId="77777777" w:rsidR="00D67848" w:rsidRPr="00CD2FE4" w:rsidRDefault="00D67848" w:rsidP="00D67848">
      <w:pPr>
        <w:jc w:val="center"/>
        <w:rPr>
          <w:rFonts w:eastAsiaTheme="majorEastAsia"/>
        </w:rPr>
      </w:pPr>
      <w:r w:rsidRPr="00CD2FE4">
        <w:rPr>
          <w:rFonts w:eastAsiaTheme="majorEastAsia"/>
          <w:noProof/>
          <w:lang w:eastAsia="it-IT"/>
        </w:rPr>
        <w:drawing>
          <wp:inline distT="0" distB="0" distL="0" distR="0" wp14:anchorId="56C19A21" wp14:editId="5C42CA0A">
            <wp:extent cx="1320652" cy="1745067"/>
            <wp:effectExtent l="19050" t="0" r="0" b="0"/>
            <wp:docPr id="3" name="Immagine 29" descr="D:\Dati\Desktop\un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ti\Desktop\unige.jpg"/>
                    <pic:cNvPicPr>
                      <a:picLocks noChangeAspect="1" noChangeArrowheads="1"/>
                    </pic:cNvPicPr>
                  </pic:nvPicPr>
                  <pic:blipFill>
                    <a:blip r:embed="rId8" cstate="print"/>
                    <a:srcRect/>
                    <a:stretch>
                      <a:fillRect/>
                    </a:stretch>
                  </pic:blipFill>
                  <pic:spPr bwMode="auto">
                    <a:xfrm>
                      <a:off x="0" y="0"/>
                      <a:ext cx="1320724" cy="1745162"/>
                    </a:xfrm>
                    <a:prstGeom prst="rect">
                      <a:avLst/>
                    </a:prstGeom>
                    <a:noFill/>
                    <a:ln w="9525">
                      <a:noFill/>
                      <a:miter lim="800000"/>
                      <a:headEnd/>
                      <a:tailEnd/>
                    </a:ln>
                  </pic:spPr>
                </pic:pic>
              </a:graphicData>
            </a:graphic>
          </wp:inline>
        </w:drawing>
      </w:r>
    </w:p>
    <w:p w14:paraId="10049784" w14:textId="77777777" w:rsidR="00D67848" w:rsidRPr="00CD2FE4" w:rsidRDefault="00D67848" w:rsidP="00D67848">
      <w:pPr>
        <w:jc w:val="center"/>
        <w:rPr>
          <w:rFonts w:eastAsiaTheme="majorEastAsia"/>
        </w:rPr>
      </w:pPr>
    </w:p>
    <w:p w14:paraId="1B35662B" w14:textId="77777777" w:rsidR="00D67848" w:rsidRPr="00D96A39" w:rsidRDefault="00D67848" w:rsidP="00D67848">
      <w:pPr>
        <w:jc w:val="center"/>
        <w:rPr>
          <w:rFonts w:ascii="Times New Roman" w:eastAsiaTheme="majorEastAsia" w:hAnsi="Times New Roman" w:cs="Times New Roman"/>
          <w:caps/>
          <w:sz w:val="36"/>
          <w:szCs w:val="36"/>
        </w:rPr>
      </w:pPr>
      <w:r w:rsidRPr="00D96A39">
        <w:rPr>
          <w:rFonts w:ascii="Times New Roman" w:eastAsiaTheme="majorEastAsia" w:hAnsi="Times New Roman" w:cs="Times New Roman"/>
          <w:caps/>
          <w:sz w:val="36"/>
          <w:szCs w:val="36"/>
        </w:rPr>
        <w:t>corso di laurea specialistica in medicina e chirurgia</w:t>
      </w:r>
    </w:p>
    <w:p w14:paraId="6A9D3079" w14:textId="77777777" w:rsidR="00D67848" w:rsidRPr="00D96A39" w:rsidRDefault="00D67848" w:rsidP="00D67848">
      <w:pPr>
        <w:jc w:val="center"/>
        <w:rPr>
          <w:rFonts w:ascii="Times New Roman" w:eastAsiaTheme="majorEastAsia" w:hAnsi="Times New Roman" w:cs="Times New Roman"/>
          <w:caps/>
          <w:sz w:val="36"/>
          <w:szCs w:val="36"/>
        </w:rPr>
      </w:pPr>
      <w:r w:rsidRPr="00D96A39">
        <w:rPr>
          <w:rFonts w:ascii="Times New Roman" w:eastAsiaTheme="majorEastAsia" w:hAnsi="Times New Roman" w:cs="Times New Roman"/>
          <w:caps/>
          <w:sz w:val="36"/>
          <w:szCs w:val="36"/>
        </w:rPr>
        <w:t xml:space="preserve">anno accademico </w:t>
      </w:r>
      <w:r w:rsidR="008C51D7" w:rsidRPr="00D96A39">
        <w:rPr>
          <w:rFonts w:ascii="Times New Roman" w:eastAsiaTheme="majorEastAsia" w:hAnsi="Times New Roman" w:cs="Times New Roman"/>
          <w:caps/>
          <w:sz w:val="36"/>
          <w:szCs w:val="36"/>
        </w:rPr>
        <w:t>2018</w:t>
      </w:r>
      <w:r w:rsidRPr="00D96A39">
        <w:rPr>
          <w:rFonts w:ascii="Times New Roman" w:eastAsiaTheme="majorEastAsia" w:hAnsi="Times New Roman" w:cs="Times New Roman"/>
          <w:caps/>
          <w:sz w:val="36"/>
          <w:szCs w:val="36"/>
        </w:rPr>
        <w:t>-</w:t>
      </w:r>
      <w:r w:rsidR="008C51D7" w:rsidRPr="00D96A39">
        <w:rPr>
          <w:rFonts w:ascii="Times New Roman" w:eastAsiaTheme="majorEastAsia" w:hAnsi="Times New Roman" w:cs="Times New Roman"/>
          <w:caps/>
          <w:sz w:val="36"/>
          <w:szCs w:val="36"/>
        </w:rPr>
        <w:t>2019</w:t>
      </w:r>
    </w:p>
    <w:p w14:paraId="2B597C48" w14:textId="77777777" w:rsidR="00D67848" w:rsidRPr="00D96A39" w:rsidRDefault="00D67848" w:rsidP="00D67848">
      <w:pPr>
        <w:jc w:val="center"/>
        <w:rPr>
          <w:rFonts w:ascii="Times New Roman" w:eastAsiaTheme="majorEastAsia" w:hAnsi="Times New Roman" w:cs="Times New Roman"/>
          <w:b/>
          <w:caps/>
          <w:sz w:val="36"/>
          <w:szCs w:val="36"/>
        </w:rPr>
      </w:pPr>
      <w:r w:rsidRPr="00D96A39">
        <w:rPr>
          <w:rFonts w:ascii="Times New Roman" w:eastAsiaTheme="majorEastAsia" w:hAnsi="Times New Roman" w:cs="Times New Roman"/>
          <w:b/>
          <w:caps/>
          <w:sz w:val="36"/>
          <w:szCs w:val="36"/>
        </w:rPr>
        <w:t>tesi di laurea</w:t>
      </w:r>
    </w:p>
    <w:p w14:paraId="2301A655" w14:textId="77777777" w:rsidR="008C51D7" w:rsidRPr="00D96A39" w:rsidRDefault="008C51D7" w:rsidP="00D67848">
      <w:pPr>
        <w:jc w:val="center"/>
        <w:rPr>
          <w:rFonts w:ascii="Times New Roman" w:eastAsiaTheme="majorEastAsia" w:hAnsi="Times New Roman" w:cs="Times New Roman"/>
          <w:b/>
          <w:caps/>
          <w:sz w:val="28"/>
          <w:szCs w:val="28"/>
        </w:rPr>
      </w:pPr>
      <w:r w:rsidRPr="00D96A39">
        <w:rPr>
          <w:rFonts w:ascii="Times New Roman" w:eastAsiaTheme="majorEastAsia" w:hAnsi="Times New Roman" w:cs="Times New Roman"/>
          <w:b/>
          <w:caps/>
          <w:sz w:val="28"/>
          <w:szCs w:val="28"/>
        </w:rPr>
        <w:t>Quanto è nota l’arterite gigantocellulare in medicina generale: indagine su un campione genovese</w:t>
      </w:r>
    </w:p>
    <w:p w14:paraId="1156CBFF" w14:textId="77777777" w:rsidR="008C51D7" w:rsidRPr="00D96A39" w:rsidRDefault="008C51D7" w:rsidP="00D67848">
      <w:pPr>
        <w:rPr>
          <w:rFonts w:ascii="Times New Roman" w:eastAsiaTheme="majorEastAsia" w:hAnsi="Times New Roman" w:cs="Times New Roman"/>
          <w:b/>
          <w:caps/>
          <w:sz w:val="36"/>
          <w:szCs w:val="36"/>
        </w:rPr>
      </w:pPr>
    </w:p>
    <w:p w14:paraId="49DCA331" w14:textId="77777777" w:rsidR="00D67848" w:rsidRPr="00D96A39" w:rsidRDefault="00D67848" w:rsidP="00D67848">
      <w:pPr>
        <w:rPr>
          <w:rFonts w:ascii="Times New Roman" w:eastAsiaTheme="majorEastAsia" w:hAnsi="Times New Roman" w:cs="Times New Roman"/>
          <w:b/>
          <w:caps/>
          <w:sz w:val="24"/>
          <w:szCs w:val="24"/>
        </w:rPr>
      </w:pPr>
      <w:r w:rsidRPr="00D96A39">
        <w:rPr>
          <w:rFonts w:ascii="Times New Roman" w:eastAsiaTheme="majorEastAsia" w:hAnsi="Times New Roman" w:cs="Times New Roman"/>
          <w:b/>
          <w:caps/>
          <w:sz w:val="24"/>
          <w:szCs w:val="24"/>
        </w:rPr>
        <w:t>Relatore</w:t>
      </w:r>
    </w:p>
    <w:p w14:paraId="306D796D" w14:textId="77777777" w:rsidR="00D67848" w:rsidRPr="00D96A39" w:rsidRDefault="00B23FB5" w:rsidP="00D67848">
      <w:pPr>
        <w:rPr>
          <w:rFonts w:ascii="Times New Roman" w:eastAsiaTheme="majorEastAsia" w:hAnsi="Times New Roman" w:cs="Times New Roman"/>
          <w:sz w:val="24"/>
          <w:szCs w:val="24"/>
        </w:rPr>
      </w:pPr>
      <w:r w:rsidRPr="00D96A39">
        <w:rPr>
          <w:rFonts w:ascii="Times New Roman" w:eastAsiaTheme="majorEastAsia" w:hAnsi="Times New Roman" w:cs="Times New Roman"/>
          <w:sz w:val="24"/>
          <w:szCs w:val="24"/>
        </w:rPr>
        <w:t xml:space="preserve">C.mo Prof. </w:t>
      </w:r>
      <w:r w:rsidR="008C51D7" w:rsidRPr="00D96A39">
        <w:rPr>
          <w:rFonts w:ascii="Times New Roman" w:eastAsiaTheme="majorEastAsia" w:hAnsi="Times New Roman" w:cs="Times New Roman"/>
          <w:sz w:val="24"/>
          <w:szCs w:val="24"/>
        </w:rPr>
        <w:t>Marco Amedeo Cimmino</w:t>
      </w:r>
    </w:p>
    <w:p w14:paraId="72D81047" w14:textId="77777777" w:rsidR="008C51D7" w:rsidRPr="00D96A39" w:rsidRDefault="008C51D7" w:rsidP="00D67848">
      <w:pPr>
        <w:rPr>
          <w:rFonts w:ascii="Times New Roman" w:eastAsiaTheme="majorEastAsia" w:hAnsi="Times New Roman" w:cs="Times New Roman"/>
          <w:b/>
          <w:sz w:val="24"/>
          <w:szCs w:val="24"/>
        </w:rPr>
      </w:pPr>
      <w:r w:rsidRPr="00D96A39">
        <w:rPr>
          <w:rFonts w:ascii="Times New Roman" w:eastAsiaTheme="majorEastAsia" w:hAnsi="Times New Roman" w:cs="Times New Roman"/>
          <w:b/>
          <w:sz w:val="24"/>
          <w:szCs w:val="24"/>
        </w:rPr>
        <w:t>CO-RELATORE</w:t>
      </w:r>
    </w:p>
    <w:p w14:paraId="65F57125" w14:textId="77777777" w:rsidR="008C51D7" w:rsidRPr="00D96A39" w:rsidRDefault="008C51D7" w:rsidP="00D67848">
      <w:pPr>
        <w:rPr>
          <w:rFonts w:ascii="Times New Roman" w:eastAsiaTheme="majorEastAsia" w:hAnsi="Times New Roman" w:cs="Times New Roman"/>
          <w:sz w:val="24"/>
          <w:szCs w:val="24"/>
        </w:rPr>
      </w:pPr>
      <w:r w:rsidRPr="00D96A39">
        <w:rPr>
          <w:rFonts w:ascii="Times New Roman" w:eastAsiaTheme="majorEastAsia" w:hAnsi="Times New Roman" w:cs="Times New Roman"/>
          <w:sz w:val="24"/>
          <w:szCs w:val="24"/>
        </w:rPr>
        <w:t>C.mo Prof. Andrea Stimamiglio</w:t>
      </w:r>
    </w:p>
    <w:p w14:paraId="1402944D" w14:textId="77777777" w:rsidR="008C51D7" w:rsidRPr="00D96A39" w:rsidRDefault="008C51D7" w:rsidP="00D67848">
      <w:pPr>
        <w:rPr>
          <w:rFonts w:ascii="Times New Roman" w:eastAsiaTheme="majorEastAsia" w:hAnsi="Times New Roman" w:cs="Times New Roman"/>
          <w:b/>
          <w:sz w:val="28"/>
          <w:szCs w:val="28"/>
        </w:rPr>
      </w:pPr>
    </w:p>
    <w:p w14:paraId="42000B1D" w14:textId="77777777" w:rsidR="008C51D7" w:rsidRPr="00D96A39" w:rsidRDefault="00B23FB5" w:rsidP="000204BD">
      <w:pPr>
        <w:ind w:left="3540" w:right="1037"/>
        <w:jc w:val="center"/>
        <w:rPr>
          <w:rFonts w:ascii="Times New Roman" w:eastAsiaTheme="majorEastAsia" w:hAnsi="Times New Roman" w:cs="Times New Roman"/>
          <w:b/>
          <w:caps/>
          <w:sz w:val="24"/>
          <w:szCs w:val="24"/>
        </w:rPr>
      </w:pPr>
      <w:r w:rsidRPr="00D96A39">
        <w:rPr>
          <w:rFonts w:ascii="Times New Roman" w:eastAsiaTheme="majorEastAsia" w:hAnsi="Times New Roman" w:cs="Times New Roman"/>
          <w:b/>
          <w:caps/>
          <w:sz w:val="24"/>
          <w:szCs w:val="24"/>
        </w:rPr>
        <w:t>CandidatO</w:t>
      </w:r>
    </w:p>
    <w:p w14:paraId="16B739C5" w14:textId="77777777" w:rsidR="001A08BD" w:rsidRPr="00B05D42" w:rsidRDefault="008C51D7" w:rsidP="00B05D42">
      <w:pPr>
        <w:spacing w:line="360" w:lineRule="auto"/>
        <w:ind w:left="4248" w:right="1037"/>
        <w:jc w:val="center"/>
        <w:rPr>
          <w:rFonts w:ascii="Times New Roman" w:eastAsiaTheme="majorEastAsia" w:hAnsi="Times New Roman" w:cs="Times New Roman"/>
          <w:b/>
          <w:caps/>
          <w:sz w:val="24"/>
          <w:szCs w:val="24"/>
        </w:rPr>
      </w:pPr>
      <w:r w:rsidRPr="00D96A39">
        <w:rPr>
          <w:rFonts w:ascii="Times New Roman" w:eastAsiaTheme="majorEastAsia" w:hAnsi="Times New Roman" w:cs="Times New Roman"/>
          <w:sz w:val="24"/>
          <w:szCs w:val="24"/>
        </w:rPr>
        <w:t>Paolo Vittoriano Clini</w:t>
      </w:r>
      <w:bookmarkStart w:id="2" w:name="_Toc479180042"/>
    </w:p>
    <w:p w14:paraId="0E2FF311" w14:textId="77777777" w:rsidR="001A08BD" w:rsidRDefault="00D67848" w:rsidP="00B05D42">
      <w:pPr>
        <w:pStyle w:val="Titolone"/>
        <w:numPr>
          <w:ilvl w:val="0"/>
          <w:numId w:val="0"/>
        </w:numPr>
        <w:ind w:left="1134"/>
      </w:pPr>
      <w:r>
        <w:lastRenderedPageBreak/>
        <w:t>IND</w:t>
      </w:r>
      <w:bookmarkEnd w:id="2"/>
      <w:r w:rsidR="008C51D7">
        <w:t>IC</w:t>
      </w:r>
      <w:r w:rsidR="001A08BD">
        <w:t>E</w:t>
      </w:r>
    </w:p>
    <w:p w14:paraId="608C8500" w14:textId="38F99D22" w:rsidR="00BB3D61" w:rsidRDefault="00B65C1F">
      <w:pPr>
        <w:pStyle w:val="Sommario1"/>
        <w:tabs>
          <w:tab w:val="left" w:pos="440"/>
          <w:tab w:val="right" w:leader="dot" w:pos="7926"/>
        </w:tabs>
        <w:rPr>
          <w:rFonts w:asciiTheme="minorHAnsi" w:eastAsiaTheme="minorEastAsia" w:hAnsiTheme="minorHAnsi" w:cstheme="minorBidi"/>
          <w:bCs w:val="0"/>
          <w:noProof/>
          <w:sz w:val="22"/>
          <w:szCs w:val="22"/>
          <w:lang w:val="it-IT" w:eastAsia="it-IT"/>
        </w:rPr>
      </w:pPr>
      <w:r>
        <w:fldChar w:fldCharType="begin"/>
      </w:r>
      <w:r>
        <w:instrText xml:space="preserve"> TOC \o "1-3" \h \z \u </w:instrText>
      </w:r>
      <w:r>
        <w:fldChar w:fldCharType="separate"/>
      </w:r>
      <w:hyperlink w:anchor="_Toc12908067" w:history="1">
        <w:r w:rsidR="00BB3D61" w:rsidRPr="007C0C4D">
          <w:rPr>
            <w:rStyle w:val="Collegamentoipertestuale"/>
            <w:b/>
            <w:noProof/>
          </w:rPr>
          <w:t>1)</w:t>
        </w:r>
        <w:r w:rsidR="00BB3D61">
          <w:rPr>
            <w:rFonts w:asciiTheme="minorHAnsi" w:eastAsiaTheme="minorEastAsia" w:hAnsiTheme="minorHAnsi" w:cstheme="minorBidi"/>
            <w:bCs w:val="0"/>
            <w:noProof/>
            <w:sz w:val="22"/>
            <w:szCs w:val="22"/>
            <w:lang w:val="it-IT" w:eastAsia="it-IT"/>
          </w:rPr>
          <w:tab/>
        </w:r>
        <w:r w:rsidR="00BB3D61" w:rsidRPr="007C0C4D">
          <w:rPr>
            <w:rStyle w:val="Collegamentoipertestuale"/>
            <w:b/>
            <w:noProof/>
          </w:rPr>
          <w:t>INTRODUZIONE</w:t>
        </w:r>
        <w:r w:rsidR="00BB3D61">
          <w:rPr>
            <w:noProof/>
            <w:webHidden/>
          </w:rPr>
          <w:tab/>
        </w:r>
        <w:r w:rsidR="00BB3D61">
          <w:rPr>
            <w:noProof/>
            <w:webHidden/>
          </w:rPr>
          <w:fldChar w:fldCharType="begin"/>
        </w:r>
        <w:r w:rsidR="00BB3D61">
          <w:rPr>
            <w:noProof/>
            <w:webHidden/>
          </w:rPr>
          <w:instrText xml:space="preserve"> PAGEREF _Toc12908067 \h </w:instrText>
        </w:r>
        <w:r w:rsidR="00BB3D61">
          <w:rPr>
            <w:noProof/>
            <w:webHidden/>
          </w:rPr>
        </w:r>
        <w:r w:rsidR="00BB3D61">
          <w:rPr>
            <w:noProof/>
            <w:webHidden/>
          </w:rPr>
          <w:fldChar w:fldCharType="separate"/>
        </w:r>
        <w:r w:rsidR="00E67DDE">
          <w:rPr>
            <w:noProof/>
            <w:webHidden/>
          </w:rPr>
          <w:t>3</w:t>
        </w:r>
        <w:r w:rsidR="00BB3D61">
          <w:rPr>
            <w:noProof/>
            <w:webHidden/>
          </w:rPr>
          <w:fldChar w:fldCharType="end"/>
        </w:r>
      </w:hyperlink>
    </w:p>
    <w:p w14:paraId="09D74930" w14:textId="4308715C" w:rsidR="00BB3D61" w:rsidRDefault="003340BE">
      <w:pPr>
        <w:pStyle w:val="Sommario1"/>
        <w:tabs>
          <w:tab w:val="left" w:pos="440"/>
          <w:tab w:val="right" w:leader="dot" w:pos="7926"/>
        </w:tabs>
        <w:rPr>
          <w:rFonts w:asciiTheme="minorHAnsi" w:eastAsiaTheme="minorEastAsia" w:hAnsiTheme="minorHAnsi" w:cstheme="minorBidi"/>
          <w:bCs w:val="0"/>
          <w:noProof/>
          <w:sz w:val="22"/>
          <w:szCs w:val="22"/>
          <w:lang w:val="it-IT" w:eastAsia="it-IT"/>
        </w:rPr>
      </w:pPr>
      <w:hyperlink w:anchor="_Toc12908068" w:history="1">
        <w:r w:rsidR="00BB3D61" w:rsidRPr="007C0C4D">
          <w:rPr>
            <w:rStyle w:val="Collegamentoipertestuale"/>
            <w:b/>
            <w:noProof/>
          </w:rPr>
          <w:t>2)</w:t>
        </w:r>
        <w:r w:rsidR="00BB3D61">
          <w:rPr>
            <w:rFonts w:asciiTheme="minorHAnsi" w:eastAsiaTheme="minorEastAsia" w:hAnsiTheme="minorHAnsi" w:cstheme="minorBidi"/>
            <w:bCs w:val="0"/>
            <w:noProof/>
            <w:sz w:val="22"/>
            <w:szCs w:val="22"/>
            <w:lang w:val="it-IT" w:eastAsia="it-IT"/>
          </w:rPr>
          <w:tab/>
        </w:r>
        <w:r w:rsidR="00BB3D61" w:rsidRPr="007C0C4D">
          <w:rPr>
            <w:rStyle w:val="Collegamentoipertestuale"/>
            <w:b/>
            <w:noProof/>
          </w:rPr>
          <w:t>ARTERITE GIGANTOCELLULARE O ARTERITE DI HORTON</w:t>
        </w:r>
        <w:r w:rsidR="00BB3D61">
          <w:rPr>
            <w:noProof/>
            <w:webHidden/>
          </w:rPr>
          <w:tab/>
        </w:r>
        <w:r w:rsidR="00BB3D61">
          <w:rPr>
            <w:noProof/>
            <w:webHidden/>
          </w:rPr>
          <w:fldChar w:fldCharType="begin"/>
        </w:r>
        <w:r w:rsidR="00BB3D61">
          <w:rPr>
            <w:noProof/>
            <w:webHidden/>
          </w:rPr>
          <w:instrText xml:space="preserve"> PAGEREF _Toc12908068 \h </w:instrText>
        </w:r>
        <w:r w:rsidR="00BB3D61">
          <w:rPr>
            <w:noProof/>
            <w:webHidden/>
          </w:rPr>
        </w:r>
        <w:r w:rsidR="00BB3D61">
          <w:rPr>
            <w:noProof/>
            <w:webHidden/>
          </w:rPr>
          <w:fldChar w:fldCharType="separate"/>
        </w:r>
        <w:r w:rsidR="00E67DDE">
          <w:rPr>
            <w:noProof/>
            <w:webHidden/>
          </w:rPr>
          <w:t>12</w:t>
        </w:r>
        <w:r w:rsidR="00BB3D61">
          <w:rPr>
            <w:noProof/>
            <w:webHidden/>
          </w:rPr>
          <w:fldChar w:fldCharType="end"/>
        </w:r>
      </w:hyperlink>
    </w:p>
    <w:p w14:paraId="231F7767" w14:textId="1479A6B6" w:rsidR="00BB3D61" w:rsidRDefault="003340BE" w:rsidP="00BB3D61">
      <w:pPr>
        <w:pStyle w:val="Sommario2"/>
        <w:rPr>
          <w:rFonts w:asciiTheme="minorHAnsi" w:eastAsiaTheme="minorEastAsia" w:hAnsiTheme="minorHAnsi" w:cstheme="minorBidi"/>
          <w:sz w:val="22"/>
          <w:szCs w:val="22"/>
          <w:lang w:val="it-IT" w:eastAsia="it-IT"/>
        </w:rPr>
      </w:pPr>
      <w:hyperlink w:anchor="_Toc12908069" w:history="1">
        <w:r w:rsidR="00BB3D61" w:rsidRPr="007C0C4D">
          <w:rPr>
            <w:rStyle w:val="Collegamentoipertestuale"/>
          </w:rPr>
          <w:t>2.1 Manifestazioni cliniche</w:t>
        </w:r>
        <w:r w:rsidR="00BB3D61">
          <w:rPr>
            <w:webHidden/>
          </w:rPr>
          <w:tab/>
        </w:r>
        <w:r w:rsidR="00BB3D61">
          <w:rPr>
            <w:webHidden/>
          </w:rPr>
          <w:fldChar w:fldCharType="begin"/>
        </w:r>
        <w:r w:rsidR="00BB3D61">
          <w:rPr>
            <w:webHidden/>
          </w:rPr>
          <w:instrText xml:space="preserve"> PAGEREF _Toc12908069 \h </w:instrText>
        </w:r>
        <w:r w:rsidR="00BB3D61">
          <w:rPr>
            <w:webHidden/>
          </w:rPr>
        </w:r>
        <w:r w:rsidR="00BB3D61">
          <w:rPr>
            <w:webHidden/>
          </w:rPr>
          <w:fldChar w:fldCharType="separate"/>
        </w:r>
        <w:r w:rsidR="00E67DDE">
          <w:rPr>
            <w:webHidden/>
          </w:rPr>
          <w:t>12</w:t>
        </w:r>
        <w:r w:rsidR="00BB3D61">
          <w:rPr>
            <w:webHidden/>
          </w:rPr>
          <w:fldChar w:fldCharType="end"/>
        </w:r>
      </w:hyperlink>
    </w:p>
    <w:p w14:paraId="09347068" w14:textId="280BDD39" w:rsidR="00BB3D61" w:rsidRDefault="003340BE" w:rsidP="00BB3D61">
      <w:pPr>
        <w:pStyle w:val="Sommario2"/>
        <w:rPr>
          <w:rFonts w:asciiTheme="minorHAnsi" w:eastAsiaTheme="minorEastAsia" w:hAnsiTheme="minorHAnsi" w:cstheme="minorBidi"/>
          <w:sz w:val="22"/>
          <w:szCs w:val="22"/>
          <w:lang w:val="it-IT" w:eastAsia="it-IT"/>
        </w:rPr>
      </w:pPr>
      <w:hyperlink w:anchor="_Toc12908070" w:history="1">
        <w:r w:rsidR="00BB3D61" w:rsidRPr="007C0C4D">
          <w:rPr>
            <w:rStyle w:val="Collegamentoipertestuale"/>
          </w:rPr>
          <w:t>2.2 Eziopatogenesi</w:t>
        </w:r>
        <w:r w:rsidR="00BB3D61">
          <w:rPr>
            <w:webHidden/>
          </w:rPr>
          <w:tab/>
        </w:r>
        <w:r w:rsidR="00BB3D61">
          <w:rPr>
            <w:webHidden/>
          </w:rPr>
          <w:fldChar w:fldCharType="begin"/>
        </w:r>
        <w:r w:rsidR="00BB3D61">
          <w:rPr>
            <w:webHidden/>
          </w:rPr>
          <w:instrText xml:space="preserve"> PAGEREF _Toc12908070 \h </w:instrText>
        </w:r>
        <w:r w:rsidR="00BB3D61">
          <w:rPr>
            <w:webHidden/>
          </w:rPr>
        </w:r>
        <w:r w:rsidR="00BB3D61">
          <w:rPr>
            <w:webHidden/>
          </w:rPr>
          <w:fldChar w:fldCharType="separate"/>
        </w:r>
        <w:r w:rsidR="00E67DDE">
          <w:rPr>
            <w:webHidden/>
          </w:rPr>
          <w:t>19</w:t>
        </w:r>
        <w:r w:rsidR="00BB3D61">
          <w:rPr>
            <w:webHidden/>
          </w:rPr>
          <w:fldChar w:fldCharType="end"/>
        </w:r>
      </w:hyperlink>
    </w:p>
    <w:p w14:paraId="3BC8EBEC" w14:textId="34780E32" w:rsidR="00BB3D61" w:rsidRDefault="003340BE" w:rsidP="00BB3D61">
      <w:pPr>
        <w:pStyle w:val="Sommario2"/>
        <w:rPr>
          <w:rFonts w:asciiTheme="minorHAnsi" w:eastAsiaTheme="minorEastAsia" w:hAnsiTheme="minorHAnsi" w:cstheme="minorBidi"/>
          <w:sz w:val="22"/>
          <w:szCs w:val="22"/>
          <w:lang w:val="it-IT" w:eastAsia="it-IT"/>
        </w:rPr>
      </w:pPr>
      <w:hyperlink w:anchor="_Toc12908071" w:history="1">
        <w:r w:rsidR="00BB3D61" w:rsidRPr="007C0C4D">
          <w:rPr>
            <w:rStyle w:val="Collegamentoipertestuale"/>
          </w:rPr>
          <w:t>2.3 Diagnosi</w:t>
        </w:r>
        <w:r w:rsidR="00BB3D61">
          <w:rPr>
            <w:webHidden/>
          </w:rPr>
          <w:tab/>
        </w:r>
        <w:r w:rsidR="00BB3D61">
          <w:rPr>
            <w:webHidden/>
          </w:rPr>
          <w:fldChar w:fldCharType="begin"/>
        </w:r>
        <w:r w:rsidR="00BB3D61">
          <w:rPr>
            <w:webHidden/>
          </w:rPr>
          <w:instrText xml:space="preserve"> PAGEREF _Toc12908071 \h </w:instrText>
        </w:r>
        <w:r w:rsidR="00BB3D61">
          <w:rPr>
            <w:webHidden/>
          </w:rPr>
        </w:r>
        <w:r w:rsidR="00BB3D61">
          <w:rPr>
            <w:webHidden/>
          </w:rPr>
          <w:fldChar w:fldCharType="separate"/>
        </w:r>
        <w:r w:rsidR="00E67DDE">
          <w:rPr>
            <w:webHidden/>
          </w:rPr>
          <w:t>28</w:t>
        </w:r>
        <w:r w:rsidR="00BB3D61">
          <w:rPr>
            <w:webHidden/>
          </w:rPr>
          <w:fldChar w:fldCharType="end"/>
        </w:r>
      </w:hyperlink>
    </w:p>
    <w:p w14:paraId="260F81AC" w14:textId="3E2B01C0" w:rsidR="00BB3D61" w:rsidRDefault="003340BE" w:rsidP="00BB3D61">
      <w:pPr>
        <w:pStyle w:val="Sommario2"/>
        <w:rPr>
          <w:rFonts w:asciiTheme="minorHAnsi" w:eastAsiaTheme="minorEastAsia" w:hAnsiTheme="minorHAnsi" w:cstheme="minorBidi"/>
          <w:sz w:val="22"/>
          <w:szCs w:val="22"/>
          <w:lang w:val="it-IT" w:eastAsia="it-IT"/>
        </w:rPr>
      </w:pPr>
      <w:hyperlink w:anchor="_Toc12908072" w:history="1">
        <w:r w:rsidR="00BB3D61" w:rsidRPr="007C0C4D">
          <w:rPr>
            <w:rStyle w:val="Collegamentoipertestuale"/>
          </w:rPr>
          <w:t>2.4 Terapia</w:t>
        </w:r>
        <w:r w:rsidR="00BB3D61">
          <w:rPr>
            <w:webHidden/>
          </w:rPr>
          <w:tab/>
        </w:r>
        <w:r w:rsidR="00BB3D61">
          <w:rPr>
            <w:webHidden/>
          </w:rPr>
          <w:fldChar w:fldCharType="begin"/>
        </w:r>
        <w:r w:rsidR="00BB3D61">
          <w:rPr>
            <w:webHidden/>
          </w:rPr>
          <w:instrText xml:space="preserve"> PAGEREF _Toc12908072 \h </w:instrText>
        </w:r>
        <w:r w:rsidR="00BB3D61">
          <w:rPr>
            <w:webHidden/>
          </w:rPr>
        </w:r>
        <w:r w:rsidR="00BB3D61">
          <w:rPr>
            <w:webHidden/>
          </w:rPr>
          <w:fldChar w:fldCharType="separate"/>
        </w:r>
        <w:r w:rsidR="00E67DDE">
          <w:rPr>
            <w:webHidden/>
          </w:rPr>
          <w:t>43</w:t>
        </w:r>
        <w:r w:rsidR="00BB3D61">
          <w:rPr>
            <w:webHidden/>
          </w:rPr>
          <w:fldChar w:fldCharType="end"/>
        </w:r>
      </w:hyperlink>
    </w:p>
    <w:p w14:paraId="3BEE5B28" w14:textId="7420CCC0" w:rsidR="00BB3D61" w:rsidRDefault="003340BE" w:rsidP="00BB3D61">
      <w:pPr>
        <w:pStyle w:val="Sommario2"/>
        <w:rPr>
          <w:rFonts w:asciiTheme="minorHAnsi" w:eastAsiaTheme="minorEastAsia" w:hAnsiTheme="minorHAnsi" w:cstheme="minorBidi"/>
          <w:sz w:val="22"/>
          <w:szCs w:val="22"/>
          <w:lang w:val="it-IT" w:eastAsia="it-IT"/>
        </w:rPr>
      </w:pPr>
      <w:hyperlink w:anchor="_Toc12908073" w:history="1">
        <w:r w:rsidR="00BB3D61" w:rsidRPr="007C0C4D">
          <w:rPr>
            <w:rStyle w:val="Collegamentoipertestuale"/>
          </w:rPr>
          <w:t>2.5 Follow-up</w:t>
        </w:r>
        <w:r w:rsidR="00BB3D61">
          <w:rPr>
            <w:webHidden/>
          </w:rPr>
          <w:tab/>
        </w:r>
        <w:r w:rsidR="00BB3D61">
          <w:rPr>
            <w:webHidden/>
          </w:rPr>
          <w:fldChar w:fldCharType="begin"/>
        </w:r>
        <w:r w:rsidR="00BB3D61">
          <w:rPr>
            <w:webHidden/>
          </w:rPr>
          <w:instrText xml:space="preserve"> PAGEREF _Toc12908073 \h </w:instrText>
        </w:r>
        <w:r w:rsidR="00BB3D61">
          <w:rPr>
            <w:webHidden/>
          </w:rPr>
        </w:r>
        <w:r w:rsidR="00BB3D61">
          <w:rPr>
            <w:webHidden/>
          </w:rPr>
          <w:fldChar w:fldCharType="separate"/>
        </w:r>
        <w:r w:rsidR="00E67DDE">
          <w:rPr>
            <w:webHidden/>
          </w:rPr>
          <w:t>46</w:t>
        </w:r>
        <w:r w:rsidR="00BB3D61">
          <w:rPr>
            <w:webHidden/>
          </w:rPr>
          <w:fldChar w:fldCharType="end"/>
        </w:r>
      </w:hyperlink>
    </w:p>
    <w:p w14:paraId="422BE5CC" w14:textId="43D8AC52" w:rsidR="00BB3D61" w:rsidRDefault="00D03AF2">
      <w:pPr>
        <w:pStyle w:val="Sommario1"/>
        <w:tabs>
          <w:tab w:val="left" w:pos="440"/>
          <w:tab w:val="right" w:leader="dot" w:pos="7926"/>
        </w:tabs>
        <w:rPr>
          <w:rFonts w:asciiTheme="minorHAnsi" w:eastAsiaTheme="minorEastAsia" w:hAnsiTheme="minorHAnsi" w:cstheme="minorBidi"/>
          <w:bCs w:val="0"/>
          <w:noProof/>
          <w:sz w:val="22"/>
          <w:szCs w:val="22"/>
          <w:lang w:val="it-IT" w:eastAsia="it-IT"/>
        </w:rPr>
      </w:pPr>
      <w:hyperlink w:anchor="_Toc12908074" w:history="1">
        <w:r w:rsidR="00BB3D61" w:rsidRPr="007C0C4D">
          <w:rPr>
            <w:rStyle w:val="Collegamentoipertestuale"/>
            <w:b/>
            <w:noProof/>
          </w:rPr>
          <w:t>3)</w:t>
        </w:r>
        <w:r w:rsidR="00BB3D61">
          <w:rPr>
            <w:rFonts w:asciiTheme="minorHAnsi" w:eastAsiaTheme="minorEastAsia" w:hAnsiTheme="minorHAnsi" w:cstheme="minorBidi"/>
            <w:bCs w:val="0"/>
            <w:noProof/>
            <w:sz w:val="22"/>
            <w:szCs w:val="22"/>
            <w:lang w:val="it-IT" w:eastAsia="it-IT"/>
          </w:rPr>
          <w:tab/>
        </w:r>
        <w:r w:rsidR="00BB3D61" w:rsidRPr="007C0C4D">
          <w:rPr>
            <w:rStyle w:val="Collegamentoipertestuale"/>
            <w:b/>
            <w:noProof/>
          </w:rPr>
          <w:t>LO STUDIO</w:t>
        </w:r>
        <w:r w:rsidR="00BB3D61">
          <w:rPr>
            <w:noProof/>
            <w:webHidden/>
          </w:rPr>
          <w:tab/>
        </w:r>
        <w:r w:rsidR="00BB3D61">
          <w:rPr>
            <w:noProof/>
            <w:webHidden/>
          </w:rPr>
          <w:fldChar w:fldCharType="begin"/>
        </w:r>
        <w:r w:rsidR="00BB3D61">
          <w:rPr>
            <w:noProof/>
            <w:webHidden/>
          </w:rPr>
          <w:instrText xml:space="preserve"> PAGEREF _Toc12908074 \h </w:instrText>
        </w:r>
        <w:r w:rsidR="00BB3D61">
          <w:rPr>
            <w:noProof/>
            <w:webHidden/>
          </w:rPr>
        </w:r>
        <w:r w:rsidR="00BB3D61">
          <w:rPr>
            <w:noProof/>
            <w:webHidden/>
          </w:rPr>
          <w:fldChar w:fldCharType="separate"/>
        </w:r>
        <w:r w:rsidR="00E67DDE">
          <w:rPr>
            <w:noProof/>
            <w:webHidden/>
          </w:rPr>
          <w:t>49</w:t>
        </w:r>
        <w:r w:rsidR="00BB3D61">
          <w:rPr>
            <w:noProof/>
            <w:webHidden/>
          </w:rPr>
          <w:fldChar w:fldCharType="end"/>
        </w:r>
      </w:hyperlink>
    </w:p>
    <w:p w14:paraId="291B9BE7" w14:textId="3E125AFB" w:rsidR="00BB3D61" w:rsidRDefault="00D03AF2" w:rsidP="00BB3D61">
      <w:pPr>
        <w:pStyle w:val="Sommario2"/>
        <w:rPr>
          <w:rFonts w:asciiTheme="minorHAnsi" w:eastAsiaTheme="minorEastAsia" w:hAnsiTheme="minorHAnsi" w:cstheme="minorBidi"/>
          <w:sz w:val="22"/>
          <w:szCs w:val="22"/>
          <w:lang w:val="it-IT" w:eastAsia="it-IT"/>
        </w:rPr>
      </w:pPr>
      <w:hyperlink w:anchor="_Toc12908075" w:history="1">
        <w:r w:rsidR="00BB3D61" w:rsidRPr="00BB3D61">
          <w:rPr>
            <w:rStyle w:val="Collegamentoipertestuale"/>
          </w:rPr>
          <w:t>3.1</w:t>
        </w:r>
        <w:r w:rsidR="00BB3D61" w:rsidRPr="00BB3D61">
          <w:rPr>
            <w:rFonts w:asciiTheme="minorHAnsi" w:eastAsiaTheme="minorEastAsia" w:hAnsiTheme="minorHAnsi" w:cstheme="minorBidi"/>
            <w:sz w:val="22"/>
            <w:szCs w:val="22"/>
            <w:lang w:val="it-IT" w:eastAsia="it-IT"/>
          </w:rPr>
          <w:t xml:space="preserve"> </w:t>
        </w:r>
        <w:r w:rsidR="00BB3D61" w:rsidRPr="00BB3D61">
          <w:rPr>
            <w:rStyle w:val="Collegamentoipertestuale"/>
          </w:rPr>
          <w:t>Materiali e metodi</w:t>
        </w:r>
        <w:r w:rsidR="00BB3D61">
          <w:rPr>
            <w:webHidden/>
          </w:rPr>
          <w:tab/>
        </w:r>
        <w:r w:rsidR="00BB3D61">
          <w:rPr>
            <w:webHidden/>
          </w:rPr>
          <w:fldChar w:fldCharType="begin"/>
        </w:r>
        <w:r w:rsidR="00BB3D61">
          <w:rPr>
            <w:webHidden/>
          </w:rPr>
          <w:instrText xml:space="preserve"> PAGEREF _Toc12908075 \h </w:instrText>
        </w:r>
        <w:r w:rsidR="00BB3D61">
          <w:rPr>
            <w:webHidden/>
          </w:rPr>
        </w:r>
        <w:r w:rsidR="00BB3D61">
          <w:rPr>
            <w:webHidden/>
          </w:rPr>
          <w:fldChar w:fldCharType="separate"/>
        </w:r>
        <w:r w:rsidR="00E67DDE">
          <w:rPr>
            <w:webHidden/>
          </w:rPr>
          <w:t>49</w:t>
        </w:r>
        <w:r w:rsidR="00BB3D61">
          <w:rPr>
            <w:webHidden/>
          </w:rPr>
          <w:fldChar w:fldCharType="end"/>
        </w:r>
      </w:hyperlink>
    </w:p>
    <w:p w14:paraId="2338A9C3" w14:textId="67E2089E" w:rsidR="00BB3D61" w:rsidRDefault="003340BE">
      <w:pPr>
        <w:pStyle w:val="Sommario3"/>
        <w:tabs>
          <w:tab w:val="right" w:leader="dot" w:pos="7926"/>
        </w:tabs>
        <w:rPr>
          <w:rFonts w:cstheme="minorBidi"/>
          <w:noProof/>
        </w:rPr>
      </w:pPr>
      <w:hyperlink w:anchor="_Toc12908076" w:history="1">
        <w:r w:rsidR="00BB3D61" w:rsidRPr="00D8284D">
          <w:rPr>
            <w:rStyle w:val="Collegamentoipertestuale"/>
            <w:rFonts w:ascii="Times New Roman" w:hAnsi="Times New Roman"/>
            <w:noProof/>
            <w:sz w:val="24"/>
            <w:szCs w:val="24"/>
          </w:rPr>
          <w:t>3.1.1 MMG</w:t>
        </w:r>
        <w:r w:rsidR="00BB3D61">
          <w:rPr>
            <w:noProof/>
            <w:webHidden/>
          </w:rPr>
          <w:tab/>
        </w:r>
        <w:r w:rsidR="00BB3D61">
          <w:rPr>
            <w:noProof/>
            <w:webHidden/>
          </w:rPr>
          <w:fldChar w:fldCharType="begin"/>
        </w:r>
        <w:r w:rsidR="00BB3D61">
          <w:rPr>
            <w:noProof/>
            <w:webHidden/>
          </w:rPr>
          <w:instrText xml:space="preserve"> PAGEREF _Toc12908076 \h </w:instrText>
        </w:r>
        <w:r w:rsidR="00BB3D61">
          <w:rPr>
            <w:noProof/>
            <w:webHidden/>
          </w:rPr>
        </w:r>
        <w:r w:rsidR="00BB3D61">
          <w:rPr>
            <w:noProof/>
            <w:webHidden/>
          </w:rPr>
          <w:fldChar w:fldCharType="separate"/>
        </w:r>
        <w:r w:rsidR="00E67DDE">
          <w:rPr>
            <w:noProof/>
            <w:webHidden/>
          </w:rPr>
          <w:t>49</w:t>
        </w:r>
        <w:r w:rsidR="00BB3D61">
          <w:rPr>
            <w:noProof/>
            <w:webHidden/>
          </w:rPr>
          <w:fldChar w:fldCharType="end"/>
        </w:r>
      </w:hyperlink>
    </w:p>
    <w:p w14:paraId="4FD56432" w14:textId="50293644" w:rsidR="00BB3D61" w:rsidRDefault="003340BE">
      <w:pPr>
        <w:pStyle w:val="Sommario3"/>
        <w:tabs>
          <w:tab w:val="left" w:pos="1320"/>
          <w:tab w:val="right" w:leader="dot" w:pos="7926"/>
        </w:tabs>
        <w:rPr>
          <w:rFonts w:cstheme="minorBidi"/>
          <w:noProof/>
        </w:rPr>
      </w:pPr>
      <w:hyperlink w:anchor="_Toc12908077" w:history="1">
        <w:r w:rsidR="00BB3D61" w:rsidRPr="00D8284D">
          <w:rPr>
            <w:rStyle w:val="Collegamentoipertestuale"/>
            <w:rFonts w:ascii="Times New Roman" w:hAnsi="Times New Roman"/>
            <w:noProof/>
            <w:sz w:val="24"/>
            <w:szCs w:val="24"/>
          </w:rPr>
          <w:t>3.1.2</w:t>
        </w:r>
        <w:r w:rsidR="00BB3D61" w:rsidRPr="00D8284D">
          <w:rPr>
            <w:rFonts w:cstheme="minorBidi"/>
            <w:noProof/>
            <w:sz w:val="24"/>
            <w:szCs w:val="24"/>
          </w:rPr>
          <w:t xml:space="preserve"> </w:t>
        </w:r>
        <w:r w:rsidR="00BB3D61" w:rsidRPr="00D8284D">
          <w:rPr>
            <w:rStyle w:val="Collegamentoipertestuale"/>
            <w:rFonts w:ascii="Times New Roman" w:hAnsi="Times New Roman"/>
            <w:noProof/>
            <w:sz w:val="24"/>
            <w:szCs w:val="24"/>
          </w:rPr>
          <w:t>Il questionario</w:t>
        </w:r>
        <w:r w:rsidR="00BB3D61">
          <w:rPr>
            <w:noProof/>
            <w:webHidden/>
          </w:rPr>
          <w:tab/>
        </w:r>
        <w:r w:rsidR="00BB3D61">
          <w:rPr>
            <w:noProof/>
            <w:webHidden/>
          </w:rPr>
          <w:fldChar w:fldCharType="begin"/>
        </w:r>
        <w:r w:rsidR="00BB3D61">
          <w:rPr>
            <w:noProof/>
            <w:webHidden/>
          </w:rPr>
          <w:instrText xml:space="preserve"> PAGEREF _Toc12908077 \h </w:instrText>
        </w:r>
        <w:r w:rsidR="00BB3D61">
          <w:rPr>
            <w:noProof/>
            <w:webHidden/>
          </w:rPr>
        </w:r>
        <w:r w:rsidR="00BB3D61">
          <w:rPr>
            <w:noProof/>
            <w:webHidden/>
          </w:rPr>
          <w:fldChar w:fldCharType="separate"/>
        </w:r>
        <w:r w:rsidR="00E67DDE">
          <w:rPr>
            <w:noProof/>
            <w:webHidden/>
          </w:rPr>
          <w:t>50</w:t>
        </w:r>
        <w:r w:rsidR="00BB3D61">
          <w:rPr>
            <w:noProof/>
            <w:webHidden/>
          </w:rPr>
          <w:fldChar w:fldCharType="end"/>
        </w:r>
      </w:hyperlink>
    </w:p>
    <w:p w14:paraId="4871C182" w14:textId="05218F14" w:rsidR="00BB3D61" w:rsidRPr="00BB3D61" w:rsidRDefault="003340BE" w:rsidP="00BB3D61">
      <w:pPr>
        <w:pStyle w:val="Sommario2"/>
        <w:rPr>
          <w:rFonts w:asciiTheme="minorHAnsi" w:eastAsiaTheme="minorEastAsia" w:hAnsiTheme="minorHAnsi" w:cstheme="minorBidi"/>
          <w:sz w:val="22"/>
          <w:szCs w:val="22"/>
          <w:lang w:val="it-IT" w:eastAsia="it-IT"/>
        </w:rPr>
      </w:pPr>
      <w:hyperlink w:anchor="_Toc12908078" w:history="1">
        <w:r w:rsidR="00BB3D61" w:rsidRPr="00BB3D61">
          <w:rPr>
            <w:rStyle w:val="Collegamentoipertestuale"/>
          </w:rPr>
          <w:t>3.2</w:t>
        </w:r>
        <w:r w:rsidR="00BB3D61" w:rsidRPr="00BB3D61">
          <w:rPr>
            <w:rFonts w:asciiTheme="minorHAnsi" w:eastAsiaTheme="minorEastAsia" w:hAnsiTheme="minorHAnsi" w:cstheme="minorBidi"/>
            <w:sz w:val="22"/>
            <w:szCs w:val="22"/>
            <w:lang w:val="it-IT" w:eastAsia="it-IT"/>
          </w:rPr>
          <w:t xml:space="preserve"> </w:t>
        </w:r>
        <w:r w:rsidR="00BB3D61" w:rsidRPr="00BB3D61">
          <w:rPr>
            <w:rStyle w:val="Collegamentoipertestuale"/>
          </w:rPr>
          <w:t>I risultati</w:t>
        </w:r>
        <w:r w:rsidR="00BB3D61" w:rsidRPr="00BB3D61">
          <w:rPr>
            <w:webHidden/>
          </w:rPr>
          <w:tab/>
        </w:r>
        <w:r w:rsidR="00BB3D61" w:rsidRPr="00BB3D61">
          <w:rPr>
            <w:webHidden/>
          </w:rPr>
          <w:fldChar w:fldCharType="begin"/>
        </w:r>
        <w:r w:rsidR="00BB3D61" w:rsidRPr="00BB3D61">
          <w:rPr>
            <w:webHidden/>
          </w:rPr>
          <w:instrText xml:space="preserve"> PAGEREF _Toc12908078 \h </w:instrText>
        </w:r>
        <w:r w:rsidR="00BB3D61" w:rsidRPr="00BB3D61">
          <w:rPr>
            <w:webHidden/>
          </w:rPr>
        </w:r>
        <w:r w:rsidR="00BB3D61" w:rsidRPr="00BB3D61">
          <w:rPr>
            <w:webHidden/>
          </w:rPr>
          <w:fldChar w:fldCharType="separate"/>
        </w:r>
        <w:r w:rsidR="00E67DDE">
          <w:rPr>
            <w:webHidden/>
          </w:rPr>
          <w:t>54</w:t>
        </w:r>
        <w:r w:rsidR="00BB3D61" w:rsidRPr="00BB3D61">
          <w:rPr>
            <w:webHidden/>
          </w:rPr>
          <w:fldChar w:fldCharType="end"/>
        </w:r>
      </w:hyperlink>
    </w:p>
    <w:p w14:paraId="4F196EEB" w14:textId="41B6ECE5" w:rsidR="00BB3D61" w:rsidRDefault="003340BE" w:rsidP="00BB3D61">
      <w:pPr>
        <w:pStyle w:val="Sommario2"/>
        <w:rPr>
          <w:rFonts w:asciiTheme="minorHAnsi" w:eastAsiaTheme="minorEastAsia" w:hAnsiTheme="minorHAnsi" w:cstheme="minorBidi"/>
          <w:sz w:val="22"/>
          <w:szCs w:val="22"/>
          <w:lang w:val="it-IT" w:eastAsia="it-IT"/>
        </w:rPr>
      </w:pPr>
      <w:hyperlink w:anchor="_Toc12908079" w:history="1">
        <w:r w:rsidR="00BB3D61" w:rsidRPr="007C0C4D">
          <w:rPr>
            <w:rStyle w:val="Collegamentoipertestuale"/>
          </w:rPr>
          <w:t>3.3 Valutazione statistica</w:t>
        </w:r>
        <w:r w:rsidR="00BB3D61">
          <w:rPr>
            <w:webHidden/>
          </w:rPr>
          <w:tab/>
        </w:r>
        <w:r w:rsidR="00BB3D61">
          <w:rPr>
            <w:webHidden/>
          </w:rPr>
          <w:fldChar w:fldCharType="begin"/>
        </w:r>
        <w:r w:rsidR="00BB3D61">
          <w:rPr>
            <w:webHidden/>
          </w:rPr>
          <w:instrText xml:space="preserve"> PAGEREF _Toc12908079 \h </w:instrText>
        </w:r>
        <w:r w:rsidR="00BB3D61">
          <w:rPr>
            <w:webHidden/>
          </w:rPr>
        </w:r>
        <w:r w:rsidR="00BB3D61">
          <w:rPr>
            <w:webHidden/>
          </w:rPr>
          <w:fldChar w:fldCharType="separate"/>
        </w:r>
        <w:r w:rsidR="00E67DDE">
          <w:rPr>
            <w:webHidden/>
          </w:rPr>
          <w:t>62</w:t>
        </w:r>
        <w:r w:rsidR="00BB3D61">
          <w:rPr>
            <w:webHidden/>
          </w:rPr>
          <w:fldChar w:fldCharType="end"/>
        </w:r>
      </w:hyperlink>
    </w:p>
    <w:p w14:paraId="1DC10D48" w14:textId="36061D37" w:rsidR="00BB3D61" w:rsidRDefault="003340BE" w:rsidP="00BB3D61">
      <w:pPr>
        <w:pStyle w:val="Sommario2"/>
        <w:rPr>
          <w:rFonts w:asciiTheme="minorHAnsi" w:eastAsiaTheme="minorEastAsia" w:hAnsiTheme="minorHAnsi" w:cstheme="minorBidi"/>
          <w:sz w:val="22"/>
          <w:szCs w:val="22"/>
          <w:lang w:val="it-IT" w:eastAsia="it-IT"/>
        </w:rPr>
      </w:pPr>
      <w:hyperlink w:anchor="_Toc12908080" w:history="1">
        <w:r w:rsidR="00BB3D61" w:rsidRPr="007C0C4D">
          <w:rPr>
            <w:rStyle w:val="Collegamentoipertestuale"/>
          </w:rPr>
          <w:t xml:space="preserve">3.4 </w:t>
        </w:r>
        <w:r w:rsidR="000F629C">
          <w:rPr>
            <w:rStyle w:val="Collegamentoipertestuale"/>
          </w:rPr>
          <w:t>Discussione e c</w:t>
        </w:r>
        <w:r w:rsidR="00BB3D61" w:rsidRPr="007C0C4D">
          <w:rPr>
            <w:rStyle w:val="Collegamentoipertestuale"/>
          </w:rPr>
          <w:t>onclusioni</w:t>
        </w:r>
        <w:r w:rsidR="00BB3D61">
          <w:rPr>
            <w:webHidden/>
          </w:rPr>
          <w:tab/>
        </w:r>
        <w:r w:rsidR="00BB3D61">
          <w:rPr>
            <w:webHidden/>
          </w:rPr>
          <w:fldChar w:fldCharType="begin"/>
        </w:r>
        <w:r w:rsidR="00BB3D61">
          <w:rPr>
            <w:webHidden/>
          </w:rPr>
          <w:instrText xml:space="preserve"> PAGEREF _Toc12908080 \h </w:instrText>
        </w:r>
        <w:r w:rsidR="00BB3D61">
          <w:rPr>
            <w:webHidden/>
          </w:rPr>
        </w:r>
        <w:r w:rsidR="00BB3D61">
          <w:rPr>
            <w:webHidden/>
          </w:rPr>
          <w:fldChar w:fldCharType="separate"/>
        </w:r>
        <w:r w:rsidR="00E67DDE">
          <w:rPr>
            <w:webHidden/>
          </w:rPr>
          <w:t>65</w:t>
        </w:r>
        <w:r w:rsidR="00BB3D61">
          <w:rPr>
            <w:webHidden/>
          </w:rPr>
          <w:fldChar w:fldCharType="end"/>
        </w:r>
      </w:hyperlink>
    </w:p>
    <w:p w14:paraId="122749D1" w14:textId="22EE7B8D" w:rsidR="00BB3D61" w:rsidRDefault="003340BE">
      <w:pPr>
        <w:pStyle w:val="Sommario1"/>
        <w:tabs>
          <w:tab w:val="left" w:pos="440"/>
          <w:tab w:val="right" w:leader="dot" w:pos="7926"/>
        </w:tabs>
        <w:rPr>
          <w:rFonts w:asciiTheme="minorHAnsi" w:eastAsiaTheme="minorEastAsia" w:hAnsiTheme="minorHAnsi" w:cstheme="minorBidi"/>
          <w:bCs w:val="0"/>
          <w:noProof/>
          <w:sz w:val="22"/>
          <w:szCs w:val="22"/>
          <w:lang w:val="it-IT" w:eastAsia="it-IT"/>
        </w:rPr>
      </w:pPr>
      <w:hyperlink w:anchor="_Toc12908081" w:history="1">
        <w:r w:rsidR="00BB3D61" w:rsidRPr="007C0C4D">
          <w:rPr>
            <w:rStyle w:val="Collegamentoipertestuale"/>
            <w:b/>
            <w:noProof/>
          </w:rPr>
          <w:t>4)</w:t>
        </w:r>
        <w:r w:rsidR="00BB3D61">
          <w:rPr>
            <w:rFonts w:asciiTheme="minorHAnsi" w:eastAsiaTheme="minorEastAsia" w:hAnsiTheme="minorHAnsi" w:cstheme="minorBidi"/>
            <w:bCs w:val="0"/>
            <w:noProof/>
            <w:sz w:val="22"/>
            <w:szCs w:val="22"/>
            <w:lang w:val="it-IT" w:eastAsia="it-IT"/>
          </w:rPr>
          <w:tab/>
        </w:r>
        <w:r w:rsidR="00BB3D61" w:rsidRPr="007C0C4D">
          <w:rPr>
            <w:rStyle w:val="Collegamentoipertestuale"/>
            <w:b/>
            <w:noProof/>
          </w:rPr>
          <w:t>BIBLIOGRAFIA</w:t>
        </w:r>
        <w:r w:rsidR="00BB3D61">
          <w:rPr>
            <w:noProof/>
            <w:webHidden/>
          </w:rPr>
          <w:tab/>
        </w:r>
        <w:r w:rsidR="00BB3D61">
          <w:rPr>
            <w:noProof/>
            <w:webHidden/>
          </w:rPr>
          <w:fldChar w:fldCharType="begin"/>
        </w:r>
        <w:r w:rsidR="00BB3D61">
          <w:rPr>
            <w:noProof/>
            <w:webHidden/>
          </w:rPr>
          <w:instrText xml:space="preserve"> PAGEREF _Toc12908081 \h </w:instrText>
        </w:r>
        <w:r w:rsidR="00BB3D61">
          <w:rPr>
            <w:noProof/>
            <w:webHidden/>
          </w:rPr>
        </w:r>
        <w:r w:rsidR="00BB3D61">
          <w:rPr>
            <w:noProof/>
            <w:webHidden/>
          </w:rPr>
          <w:fldChar w:fldCharType="separate"/>
        </w:r>
        <w:r w:rsidR="00E67DDE">
          <w:rPr>
            <w:noProof/>
            <w:webHidden/>
          </w:rPr>
          <w:t>73</w:t>
        </w:r>
        <w:r w:rsidR="00BB3D61">
          <w:rPr>
            <w:noProof/>
            <w:webHidden/>
          </w:rPr>
          <w:fldChar w:fldCharType="end"/>
        </w:r>
      </w:hyperlink>
    </w:p>
    <w:p w14:paraId="0847956B" w14:textId="4266D420" w:rsidR="00BB3D61" w:rsidRDefault="003340BE">
      <w:pPr>
        <w:pStyle w:val="Sommario1"/>
        <w:tabs>
          <w:tab w:val="left" w:pos="440"/>
          <w:tab w:val="right" w:leader="dot" w:pos="7926"/>
        </w:tabs>
        <w:rPr>
          <w:rFonts w:asciiTheme="minorHAnsi" w:eastAsiaTheme="minorEastAsia" w:hAnsiTheme="minorHAnsi" w:cstheme="minorBidi"/>
          <w:bCs w:val="0"/>
          <w:noProof/>
          <w:sz w:val="22"/>
          <w:szCs w:val="22"/>
          <w:lang w:val="it-IT" w:eastAsia="it-IT"/>
        </w:rPr>
      </w:pPr>
      <w:hyperlink w:anchor="_Toc12908082" w:history="1">
        <w:r w:rsidR="00BB3D61" w:rsidRPr="007C0C4D">
          <w:rPr>
            <w:rStyle w:val="Collegamentoipertestuale"/>
            <w:b/>
            <w:noProof/>
          </w:rPr>
          <w:t>5)</w:t>
        </w:r>
        <w:r w:rsidR="00BB3D61">
          <w:rPr>
            <w:rFonts w:asciiTheme="minorHAnsi" w:eastAsiaTheme="minorEastAsia" w:hAnsiTheme="minorHAnsi" w:cstheme="minorBidi"/>
            <w:bCs w:val="0"/>
            <w:noProof/>
            <w:sz w:val="22"/>
            <w:szCs w:val="22"/>
            <w:lang w:val="it-IT" w:eastAsia="it-IT"/>
          </w:rPr>
          <w:tab/>
        </w:r>
        <w:r w:rsidR="00BB3D61" w:rsidRPr="007C0C4D">
          <w:rPr>
            <w:rStyle w:val="Collegamentoipertestuale"/>
            <w:b/>
            <w:noProof/>
          </w:rPr>
          <w:t>RINGRAZIAMENTI</w:t>
        </w:r>
        <w:r w:rsidR="00BB3D61">
          <w:rPr>
            <w:noProof/>
            <w:webHidden/>
          </w:rPr>
          <w:tab/>
        </w:r>
        <w:r w:rsidR="00BB3D61">
          <w:rPr>
            <w:noProof/>
            <w:webHidden/>
          </w:rPr>
          <w:fldChar w:fldCharType="begin"/>
        </w:r>
        <w:r w:rsidR="00BB3D61">
          <w:rPr>
            <w:noProof/>
            <w:webHidden/>
          </w:rPr>
          <w:instrText xml:space="preserve"> PAGEREF _Toc12908082 \h </w:instrText>
        </w:r>
        <w:r w:rsidR="00BB3D61">
          <w:rPr>
            <w:noProof/>
            <w:webHidden/>
          </w:rPr>
        </w:r>
        <w:r w:rsidR="00BB3D61">
          <w:rPr>
            <w:noProof/>
            <w:webHidden/>
          </w:rPr>
          <w:fldChar w:fldCharType="separate"/>
        </w:r>
        <w:r w:rsidR="00E67DDE">
          <w:rPr>
            <w:noProof/>
            <w:webHidden/>
          </w:rPr>
          <w:t>78</w:t>
        </w:r>
        <w:r w:rsidR="00BB3D61">
          <w:rPr>
            <w:noProof/>
            <w:webHidden/>
          </w:rPr>
          <w:fldChar w:fldCharType="end"/>
        </w:r>
      </w:hyperlink>
    </w:p>
    <w:p w14:paraId="3D3BF014" w14:textId="77777777" w:rsidR="00D67848" w:rsidRDefault="00B65C1F" w:rsidP="00B05D42">
      <w:pPr>
        <w:spacing w:line="480" w:lineRule="auto"/>
        <w:rPr>
          <w:rFonts w:eastAsia="Calibri"/>
          <w:b/>
          <w:sz w:val="36"/>
          <w:szCs w:val="36"/>
        </w:rPr>
      </w:pPr>
      <w:r>
        <w:fldChar w:fldCharType="end"/>
      </w:r>
      <w:r w:rsidR="00D67848" w:rsidRPr="00243744">
        <w:br w:type="page"/>
      </w:r>
    </w:p>
    <w:p w14:paraId="3F7610AC" w14:textId="77777777" w:rsidR="001A08BD" w:rsidRPr="00F555AD" w:rsidRDefault="001A08BD" w:rsidP="00882180">
      <w:pPr>
        <w:pStyle w:val="Paragrafoelenco"/>
        <w:numPr>
          <w:ilvl w:val="0"/>
          <w:numId w:val="5"/>
        </w:numPr>
        <w:spacing w:after="160" w:line="480" w:lineRule="auto"/>
        <w:outlineLvl w:val="0"/>
        <w:rPr>
          <w:rFonts w:ascii="Times New Roman" w:hAnsi="Times New Roman"/>
          <w:b/>
          <w:sz w:val="28"/>
          <w:szCs w:val="28"/>
        </w:rPr>
      </w:pPr>
      <w:bookmarkStart w:id="3" w:name="_Toc12908067"/>
      <w:bookmarkEnd w:id="1"/>
      <w:r w:rsidRPr="00F555AD">
        <w:rPr>
          <w:rFonts w:ascii="Times New Roman" w:hAnsi="Times New Roman"/>
          <w:b/>
          <w:sz w:val="28"/>
          <w:szCs w:val="28"/>
        </w:rPr>
        <w:lastRenderedPageBreak/>
        <w:t>INTRODUZIONE</w:t>
      </w:r>
      <w:bookmarkEnd w:id="3"/>
    </w:p>
    <w:p w14:paraId="2F6A756B" w14:textId="77777777" w:rsidR="001A08BD" w:rsidRDefault="001A08BD" w:rsidP="00882180">
      <w:pPr>
        <w:pStyle w:val="Paragrafoelenco"/>
        <w:spacing w:line="480" w:lineRule="auto"/>
        <w:ind w:left="0"/>
        <w:jc w:val="both"/>
      </w:pPr>
    </w:p>
    <w:p w14:paraId="22276908"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L’arterite gigantocellulare (AGC), conosciuta anche come malattia di Horton</w:t>
      </w:r>
      <w:r w:rsidR="00C03360" w:rsidRPr="00882180">
        <w:rPr>
          <w:rFonts w:ascii="Times New Roman" w:hAnsi="Times New Roman"/>
          <w:sz w:val="24"/>
          <w:szCs w:val="24"/>
        </w:rPr>
        <w:t xml:space="preserve"> nella sua forma cranica</w:t>
      </w:r>
      <w:r w:rsidRPr="00882180">
        <w:rPr>
          <w:rFonts w:ascii="Times New Roman" w:hAnsi="Times New Roman"/>
          <w:sz w:val="24"/>
          <w:szCs w:val="24"/>
        </w:rPr>
        <w:t>, è la vasculite di grossi e medi vasi più frequente nella popolazione di età superiore ai 50 anni</w:t>
      </w:r>
      <w:r w:rsidR="00C41B3B" w:rsidRPr="00882180">
        <w:rPr>
          <w:rFonts w:ascii="Times New Roman" w:hAnsi="Times New Roman"/>
          <w:sz w:val="24"/>
          <w:szCs w:val="24"/>
        </w:rPr>
        <w:fldChar w:fldCharType="begin" w:fldLock="1"/>
      </w:r>
      <w:r w:rsidR="00F66ECC" w:rsidRPr="00882180">
        <w:rPr>
          <w:rFonts w:ascii="Times New Roman" w:hAnsi="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C41B3B" w:rsidRPr="00882180">
        <w:rPr>
          <w:rFonts w:ascii="Times New Roman" w:hAnsi="Times New Roman"/>
          <w:sz w:val="24"/>
          <w:szCs w:val="24"/>
        </w:rPr>
        <w:fldChar w:fldCharType="separate"/>
      </w:r>
      <w:r w:rsidR="00C41B3B" w:rsidRPr="00882180">
        <w:rPr>
          <w:rFonts w:ascii="Times New Roman" w:hAnsi="Times New Roman"/>
          <w:noProof/>
          <w:sz w:val="24"/>
          <w:szCs w:val="24"/>
          <w:vertAlign w:val="superscript"/>
        </w:rPr>
        <w:t>1</w:t>
      </w:r>
      <w:r w:rsidR="00C41B3B" w:rsidRPr="00882180">
        <w:rPr>
          <w:rFonts w:ascii="Times New Roman" w:hAnsi="Times New Roman"/>
          <w:sz w:val="24"/>
          <w:szCs w:val="24"/>
        </w:rPr>
        <w:fldChar w:fldCharType="end"/>
      </w:r>
      <w:r w:rsidRPr="00882180">
        <w:rPr>
          <w:rFonts w:ascii="Times New Roman" w:hAnsi="Times New Roman"/>
          <w:sz w:val="24"/>
          <w:szCs w:val="24"/>
        </w:rPr>
        <w:t>.</w:t>
      </w:r>
    </w:p>
    <w:p w14:paraId="5CF5259B" w14:textId="77777777" w:rsidR="001A08BD" w:rsidRPr="00882180" w:rsidRDefault="001A08BD" w:rsidP="00882180">
      <w:pPr>
        <w:pStyle w:val="Paragrafoelenco"/>
        <w:spacing w:line="480" w:lineRule="auto"/>
        <w:ind w:left="0"/>
        <w:jc w:val="both"/>
        <w:rPr>
          <w:rFonts w:ascii="Times New Roman" w:hAnsi="Times New Roman"/>
          <w:sz w:val="24"/>
          <w:szCs w:val="24"/>
        </w:rPr>
      </w:pPr>
    </w:p>
    <w:p w14:paraId="43B09302"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Per quanto questa </w:t>
      </w:r>
      <w:r w:rsidR="00C03360" w:rsidRPr="00882180">
        <w:rPr>
          <w:rFonts w:ascii="Times New Roman" w:hAnsi="Times New Roman"/>
          <w:sz w:val="24"/>
          <w:szCs w:val="24"/>
        </w:rPr>
        <w:t>malattia</w:t>
      </w:r>
      <w:r w:rsidRPr="00882180">
        <w:rPr>
          <w:rFonts w:ascii="Times New Roman" w:hAnsi="Times New Roman"/>
          <w:sz w:val="24"/>
          <w:szCs w:val="24"/>
        </w:rPr>
        <w:t xml:space="preserve"> non sia così comune nella popolazione generale, è importante non sbagliare né ritardare la diagnosi, in quanto ogni ritardo nel suo riconoscimento può facilitare l’insorgenza di alcune importanti complicazioni, prima fra tutte la perdita della vista.</w:t>
      </w:r>
    </w:p>
    <w:p w14:paraId="68049C8D"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Questa è la più temibile complicanza, vista la rapidità con cui si instaura se la terapia non è iniziata in maniera tempestiva, ed è ovviamente di grave compromissione per la qualità di vita del paziente.</w:t>
      </w:r>
    </w:p>
    <w:p w14:paraId="13F6AB7C"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Le nostre conoscenze sulla AGC sono sostanzialmente aumentate negli ultimi anni. Ad oggi non esiste un’unica definizione di AGC accettata a livello internazionale, e l’eterogeneità delle definizioni complica ulteriormente gli studi. Anche le due forme di AGC cranica ed extracranica, oggi ritenute possibili manifestazioni della stessa patologia, </w:t>
      </w:r>
      <w:r w:rsidR="00C03360" w:rsidRPr="00882180">
        <w:rPr>
          <w:rFonts w:ascii="Times New Roman" w:hAnsi="Times New Roman"/>
          <w:sz w:val="24"/>
          <w:szCs w:val="24"/>
        </w:rPr>
        <w:t>con</w:t>
      </w:r>
      <w:r w:rsidRPr="00882180">
        <w:rPr>
          <w:rFonts w:ascii="Times New Roman" w:hAnsi="Times New Roman"/>
          <w:sz w:val="24"/>
          <w:szCs w:val="24"/>
        </w:rPr>
        <w:t xml:space="preserve"> una definizione più precisa p</w:t>
      </w:r>
      <w:r w:rsidR="00C03360" w:rsidRPr="00882180">
        <w:rPr>
          <w:rFonts w:ascii="Times New Roman" w:hAnsi="Times New Roman"/>
          <w:sz w:val="24"/>
          <w:szCs w:val="24"/>
        </w:rPr>
        <w:t xml:space="preserve">otrebbero beneficiare di </w:t>
      </w:r>
      <w:r w:rsidRPr="00882180">
        <w:rPr>
          <w:rFonts w:ascii="Times New Roman" w:hAnsi="Times New Roman"/>
          <w:sz w:val="24"/>
          <w:szCs w:val="24"/>
        </w:rPr>
        <w:t>un progresso nel loro trattamento.</w:t>
      </w:r>
    </w:p>
    <w:p w14:paraId="791D7ADA"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Rimangono dunque diverse incertezze inerenti alla AGC in letteratura. La prima riguarda la diagnosi e al ruolo che l’imaging può avere, visti anche i limiti della biopsia, la seconda invece riguarda la controversia sull’eventuale trattamento della forma di AGC extracranica solitaria e se, nel caso in cui si decida di attuare una terapia, questo debba essere uguale a quella utilizzata per la forma di AGC </w:t>
      </w:r>
      <w:r w:rsidRPr="00882180">
        <w:rPr>
          <w:rFonts w:ascii="Times New Roman" w:hAnsi="Times New Roman"/>
          <w:sz w:val="24"/>
          <w:szCs w:val="24"/>
        </w:rPr>
        <w:lastRenderedPageBreak/>
        <w:t>cranica. Questa controversia è dovuta in parte alla mancanza di dati certi sull’effettiva incidenza delle complicanze in corso di AGC extracranica</w:t>
      </w:r>
      <w:r w:rsidR="005E4031" w:rsidRPr="00882180">
        <w:rPr>
          <w:rFonts w:ascii="Times New Roman" w:hAnsi="Times New Roman"/>
          <w:sz w:val="24"/>
          <w:szCs w:val="24"/>
        </w:rPr>
        <w:t xml:space="preserve"> </w:t>
      </w:r>
      <w:r w:rsidR="005E4031" w:rsidRPr="00882180">
        <w:rPr>
          <w:rFonts w:ascii="Times New Roman" w:hAnsi="Times New Roman"/>
          <w:sz w:val="24"/>
          <w:szCs w:val="24"/>
        </w:rPr>
        <w:fldChar w:fldCharType="begin" w:fldLock="1"/>
      </w:r>
      <w:r w:rsidR="00F66ECC" w:rsidRPr="00882180">
        <w:rPr>
          <w:rFonts w:ascii="Times New Roman" w:hAnsi="Times New Roman"/>
          <w:sz w:val="24"/>
          <w:szCs w:val="24"/>
        </w:rPr>
        <w:instrText>ADDIN CSL_CITATION {"citationItems":[{"id":"ITEM-1","itemData":{"ISSN":"03002977","abstract":"A systematic literature search was performed to summarise current knowledge on extracranial giant cell arteritis (GCA), i.e. large-artery involvement in patients with or without clinically apparent temporal arteritis (cranial GCA). Extracranial GCA is increasingly recognised, both in patients with cranial GCA and with solitary extracranial GCA, due to increased awareness among physicians and development of modern imaging modalities. The literature on the pathogenesis and histopathology of extracranial GCA is scarce. It is considered to be similar to cranial GCA. Patients with solitary extracranial GCA often present with non-specific signs and symptoms, although vascular manifestations, mostly secondary to stenosis, may occur. Due to the non-specific clinical presentation and low sensitivity of temporal artery biopsies, extracranial GCA is usually diagnosed by imaging. 18F-FDG-PET, MRI, CT angiography and ultrasound are used for this purpose. At present, the optimal diagnostic strategy is undetermined. The choice for a particular modality can be guided by the clinical scenario that raises suspicion of extracranial GCA, in addition to local availability and expertise. Extracranial complications in GCA consist of aortic aneurysm or dissection (mainly the ascending aorta), aortic arch syndrome, arm claudication and posterior stroke (although this is technically a cranial complication, it often results from stenosis of the vertebrobasilar arteries). Mortality is generally not increased in patients with GCA. Treatment of patients with solitary extracranial and those with extracranial and cranial GCA has been debated in the recent literature. In general, the same strategy is applied as in patients with temporal arteritis, although criteria regarding who to treat are unclear. Surgical procedures may be indicated, in which case optimal medical treatment prior to surgery is important.","author":[{"dropping-particle":"","family":"Lensen","given":"K. D.F.","non-dropping-particle":"","parse-names":false,"suffix":""},{"dropping-particle":"","family":"Voskuyl","given":"A. E.","non-dropping-particle":"","parse-names":false,"suffix":""},{"dropping-particle":"","family":"Comans","given":"E. F.I.","non-dropping-particle":"","parse-names":false,"suffix":""},{"dropping-particle":"","family":"Laken","given":"C. J.","non-dropping-particle":"van der","parse-names":false,"suffix":""},{"dropping-particle":"","family":"Smulders","given":"Y. M.","non-dropping-particle":"","parse-names":false,"suffix":""}],"container-title":"Netherlands Journal of Medicine","id":"ITEM-1","issue":"5","issued":{"date-parts":[["2016"]]},"page":"182-192","title":"Extracranial giant cell arteritis: A narrative review","type":"article-journal","volume":"74"},"uris":["http://www.mendeley.com/documents/?uuid=e0f6e6de-296c-4c57-81b1-02a05decd7ea"]}],"mendeley":{"formattedCitation":"&lt;sup&gt;2&lt;/sup&gt;","plainTextFormattedCitation":"2","previouslyFormattedCitation":"&lt;sup&gt;2&lt;/sup&gt;"},"properties":{"noteIndex":0},"schema":"https://github.com/citation-style-language/schema/raw/master/csl-citation.json"}</w:instrText>
      </w:r>
      <w:r w:rsidR="005E4031" w:rsidRPr="00882180">
        <w:rPr>
          <w:rFonts w:ascii="Times New Roman" w:hAnsi="Times New Roman"/>
          <w:sz w:val="24"/>
          <w:szCs w:val="24"/>
        </w:rPr>
        <w:fldChar w:fldCharType="separate"/>
      </w:r>
      <w:r w:rsidR="00C41B3B" w:rsidRPr="00882180">
        <w:rPr>
          <w:rFonts w:ascii="Times New Roman" w:hAnsi="Times New Roman"/>
          <w:noProof/>
          <w:sz w:val="24"/>
          <w:szCs w:val="24"/>
          <w:vertAlign w:val="superscript"/>
        </w:rPr>
        <w:t>2</w:t>
      </w:r>
      <w:r w:rsidR="005E4031" w:rsidRPr="00882180">
        <w:rPr>
          <w:rFonts w:ascii="Times New Roman" w:hAnsi="Times New Roman"/>
          <w:sz w:val="24"/>
          <w:szCs w:val="24"/>
        </w:rPr>
        <w:fldChar w:fldCharType="end"/>
      </w:r>
      <w:r w:rsidRPr="00882180">
        <w:rPr>
          <w:rFonts w:ascii="Times New Roman" w:hAnsi="Times New Roman"/>
          <w:sz w:val="24"/>
          <w:szCs w:val="24"/>
        </w:rPr>
        <w:t>.</w:t>
      </w:r>
    </w:p>
    <w:p w14:paraId="7AFEEFFB"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Già a partire dal 1990, con la pubblicazione dei primi criteri diagnostici per AGC da parte dell’American College of Rheumatology (ACR)</w:t>
      </w:r>
      <w:r w:rsidR="00F32F58" w:rsidRPr="00882180">
        <w:rPr>
          <w:rFonts w:ascii="Times New Roman" w:hAnsi="Times New Roman" w:cs="Times New Roman"/>
          <w:sz w:val="24"/>
          <w:szCs w:val="24"/>
        </w:rPr>
        <w:t xml:space="preserve"> </w:t>
      </w:r>
      <w:r w:rsidR="005E4031"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{"citationItems":[{"id":"ITEM-1","itemData":{"author":[{"dropping-particle":"","family":"Sundel","given":"Robert","non-dropping-particle":"","parse-names":false,"suffix":""},{"dropping-particle":"","family":"Miller","given":"Amy S","non-dropping-particle":"","parse-names":false,"suffix":""}],"id":"ITEM-1","issue":"March","issued":{"date-parts":[["2018"]]},"page":"1-28","title":"American College of Rheumatology ( ACR ) Vasculitis Guideline Project Plan – March 2018 American College of Rheumatology ( ACR ) Vasculitis Guideline Project Plan – March 2018","type":"article-journal"},"uris":["http://www.mendeley.com/documents/?uuid=11cbb2d6-8f19-43c1-ab78-a0c9ee887173"]}],"mendeley":{"formattedCitation":"&lt;sup&gt;3&lt;/sup&gt;","plainTextFormattedCitation":"3","previouslyFormattedCitation":"&lt;sup&gt;3&lt;/sup&gt;"},"properties":{"noteIndex":0},"schema":"https://github.com/citation-style-language/schema/raw/master/csl-citation.json"}</w:instrText>
      </w:r>
      <w:r w:rsidR="005E4031"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3</w:t>
      </w:r>
      <w:r w:rsidR="005E4031"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erano iniziati i primi tentativi di stabilire dei punti chiave cui attenersi per ottenere una diagnosi rapida e sicura. </w:t>
      </w:r>
    </w:p>
    <w:p w14:paraId="21497AE1"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La difficoltà però stava, e tuttora sta, nell’ individuare parametri clinici, laboratoristici e strumentali con un tasso di specificità e sensibilità sufficientemente elevato </w:t>
      </w:r>
      <w:r w:rsidR="005E4031"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{"citationItems":[{"id":"ITEM-1","itemData":{"DOI":"10.2147/eb.s170388","author":[{"dropping-particle":"","family":"Baig","given":"Iyza F","non-dropping-particle":"","parse-names":false,"suffix":""},{"dropping-particle":"","family":"Pascoe","given":"Alexis","non-dropping-particle":"","parse-names":false,"suffix":""},{"dropping-particle":"","family":"Kini","given":"Ashwini","non-dropping-particle":"","parse-names":false,"suffix":""},{"dropping-particle":"","family":"Lee","given":"Andrew G","non-dropping-particle":"","parse-names":false,"suffix":""}],"container-title":"Eye and Brain","id":"ITEM-1","issued":{"date-parts":[["2019"]]},"page":"1-12","title":"&lt;p&gt;Giant cell arteritis: early diagnosis is key&lt;/p&gt;","type":"article-journal","volume":"Volume 11"},"uris":["http://www.mendeley.com/documents/?uuid=f0445d99-347e-4568-90ab-15920232c07b"]}],"mendeley":{"formattedCitation":"&lt;sup&gt;4&lt;/sup&gt;","plainTextFormattedCitation":"4","previouslyFormattedCitation":"&lt;sup&gt;4&lt;/sup&gt;"},"properties":{"noteIndex":0},"schema":"https://github.com/citation-style-language/schema/raw/master/csl-citation.json"}</w:instrText>
      </w:r>
      <w:r w:rsidR="005E4031"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4</w:t>
      </w:r>
      <w:r w:rsidR="005E4031"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1AFBC59C"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Il tempo medio di diagnosi della AGC infatti, nonostante l’implementazione degli strumenti diagnostici, rimane intorno ai 2-4 mesi, fatto che si traduce in un equivalente ritardo di inizio della terapia</w:t>
      </w:r>
      <w:r w:rsidR="005E4031" w:rsidRPr="00882180">
        <w:rPr>
          <w:rFonts w:ascii="Times New Roman" w:hAnsi="Times New Roman"/>
          <w:sz w:val="24"/>
          <w:szCs w:val="24"/>
        </w:rPr>
        <w:t xml:space="preserve"> </w:t>
      </w:r>
      <w:r w:rsidR="005E4031" w:rsidRPr="00882180">
        <w:rPr>
          <w:rFonts w:ascii="Times New Roman" w:hAnsi="Times New Roman"/>
          <w:sz w:val="24"/>
          <w:szCs w:val="24"/>
        </w:rPr>
        <w:fldChar w:fldCharType="begin" w:fldLock="1"/>
      </w:r>
      <w:r w:rsidR="00F66ECC" w:rsidRPr="00882180">
        <w:rPr>
          <w:rFonts w:ascii="Times New Roman" w:hAnsi="Times New Roman"/>
          <w:sz w:val="24"/>
          <w:szCs w:val="24"/>
        </w:rPr>
        <w:instrText>ADDIN CSL_CITATION {"citationItems":[{"id":"ITEM-1","itemData":{"DOI":"10.1097/MD.0000000000003210","ISBN":"0000000000","ISSN":"15365964","PMID":"27057850","abstract":"To determine the incidence of permanent visual loss (PVL) in giant cell arteritis (GCA) and the GCA relapse rate during glucocorticoid (GC) tapering. This prospective, longitudinal single secondary/tertiary rheumatology centre study was conducted between September 2011 and September 2014 in Slovenia. Predetermined clinical and laboratory tests were performed at 12, 24, 48, 96, and 144 weeks after diagnosis. Sixty-eight GCA patients (72.1% female), with a median (IQR) age of 73.2 (67.3-76.1) years and a symptom duration before the diagnosis of a median (IQR) 30 (14-70) days were included. Thirty-nine of 68 patients had symptoms for less than 31 days (14 (10-28) days-early GCA) and 29/68 for 31 days or longer (90 (60-120) days-late GCA). Four (5.9%) patients presented with PVL (1 early GCA). The median (IQR) follow-up was (IQR) 104 (53-126) weeks. GCA relapsed in 17/39 (43.6%) and 14/29 (48.3%) in early and late GCA, respectively. The median (IQR) time to the first relapse was 24.8 (13.6-46.5) weeks (early GCA 14 (13-34) weeks; late GCA 25 (22-48) weeks, P=0.117), at the methyl-prednisolone dose of 6.0 (4.0-12.0) mg. The patients who relapsed had significantly higher levels of inflammation parameters at the baseline (including ESR, CRP, serum amyloid A, haptoglobin, and fibrinogen). An early GCA diagnosis and prompt GC treatment decreased the PVL rate in comparison to historic controls, but seem to have no impact on the frequency of relapses, which are predicted by the high baseline levels of the biomarkers of inflammation. Copyright © 2016 Wolters Kluwer Health, Inc. All rights reserved.","author":[{"dropping-particle":"","family":"Hocevar","given":"Alojzija","non-dropping-particle":"","parse-names":false,"suffix":""},{"dropping-particle":"","family":"Rotar","given":"Ziga","non-dropping-particle":"","parse-names":false,"suffix":""},{"dropping-particle":"","family":"Jese","given":"Rok","non-dropping-particle":"","parse-names":false,"suffix":""},{"dropping-particle":"","family":"Semrl","given":"Snezna Sodin","non-dropping-particle":"","parse-names":false,"suffix":""},{"dropping-particle":"","family":"Pizem","given":"Joze","non-dropping-particle":"","parse-names":false,"suffix":""},{"dropping-particle":"","family":"Hawlina","given":"Marko","non-dropping-particle":"","parse-names":false,"suffix":""},{"dropping-particle":"","family":"Tomsic","given":"Matija","non-dropping-particle":"","parse-names":false,"suffix":""}],"container-title":"Medicine (United States)","id":"ITEM-1","issue":"14","issued":{"date-parts":[["2016"]]},"page":"1-5","title":"Do Early Diagnosis and Glucocorticoid Treatment Decrease the Risk of Permanent Visual Loss and Early Relapses in Giant Cell Arteritis","type":"article-journal","volume":"95"},"uris":["http://www.mendeley.com/documents/?uuid=de0c25f5-a184-40ab-a8f0-f1b698392cd6"]}],"mendeley":{"formattedCitation":"&lt;sup&gt;5&lt;/sup&gt;","plainTextFormattedCitation":"5","previouslyFormattedCitation":"&lt;sup&gt;5&lt;/sup&gt;"},"properties":{"noteIndex":0},"schema":"https://github.com/citation-style-language/schema/raw/master/csl-citation.json"}</w:instrText>
      </w:r>
      <w:r w:rsidR="005E4031" w:rsidRPr="00882180">
        <w:rPr>
          <w:rFonts w:ascii="Times New Roman" w:hAnsi="Times New Roman"/>
          <w:sz w:val="24"/>
          <w:szCs w:val="24"/>
        </w:rPr>
        <w:fldChar w:fldCharType="separate"/>
      </w:r>
      <w:r w:rsidR="00C41B3B" w:rsidRPr="00882180">
        <w:rPr>
          <w:rFonts w:ascii="Times New Roman" w:hAnsi="Times New Roman"/>
          <w:noProof/>
          <w:sz w:val="24"/>
          <w:szCs w:val="24"/>
          <w:vertAlign w:val="superscript"/>
        </w:rPr>
        <w:t>5</w:t>
      </w:r>
      <w:r w:rsidR="005E4031" w:rsidRPr="00882180">
        <w:rPr>
          <w:rFonts w:ascii="Times New Roman" w:hAnsi="Times New Roman"/>
          <w:sz w:val="24"/>
          <w:szCs w:val="24"/>
        </w:rPr>
        <w:fldChar w:fldCharType="end"/>
      </w:r>
      <w:r w:rsidRPr="00882180">
        <w:rPr>
          <w:rFonts w:ascii="Times New Roman" w:hAnsi="Times New Roman"/>
          <w:sz w:val="24"/>
          <w:szCs w:val="24"/>
        </w:rPr>
        <w:t xml:space="preserve">. Fortunatamente l’interesse verso questa </w:t>
      </w:r>
      <w:r w:rsidR="00C03360" w:rsidRPr="00882180">
        <w:rPr>
          <w:rFonts w:ascii="Times New Roman" w:hAnsi="Times New Roman"/>
          <w:sz w:val="24"/>
          <w:szCs w:val="24"/>
        </w:rPr>
        <w:t>malattia</w:t>
      </w:r>
      <w:r w:rsidRPr="00882180">
        <w:rPr>
          <w:rFonts w:ascii="Times New Roman" w:hAnsi="Times New Roman"/>
          <w:sz w:val="24"/>
          <w:szCs w:val="24"/>
        </w:rPr>
        <w:t xml:space="preserve"> sta aumentando e si stanno cercando soluzioni per superare le lacune in merito alla </w:t>
      </w:r>
      <w:r w:rsidR="00C03360" w:rsidRPr="00882180">
        <w:rPr>
          <w:rFonts w:ascii="Times New Roman" w:hAnsi="Times New Roman"/>
          <w:sz w:val="24"/>
          <w:szCs w:val="24"/>
        </w:rPr>
        <w:t xml:space="preserve">sua </w:t>
      </w:r>
      <w:r w:rsidRPr="00882180">
        <w:rPr>
          <w:rFonts w:ascii="Times New Roman" w:hAnsi="Times New Roman"/>
          <w:sz w:val="24"/>
          <w:szCs w:val="24"/>
        </w:rPr>
        <w:t>diagnosi.</w:t>
      </w:r>
    </w:p>
    <w:p w14:paraId="47D8AA2B"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A questo fine negli ultimi anni sono stati condotti alcuni studi per valutare se con un’implementazione dei “fast-track clinic pathways” (FTP), e quindi ottenendo una diagnosi ed un inizio di terapia precoce, si potesse ottenere una diminuzione della frequenza di perdita permanente della vista.</w:t>
      </w:r>
    </w:p>
    <w:p w14:paraId="5E050BCF"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Il primo studio è stato condotto da Patil et al. all’interno di un reparto specialistico di Reumatologia. Lo studio mette a confronto due gruppi di pazienti: 135 soggetti con recente diagnosi di AGC ottenuta tramite un FTP fra gennaio 2012 e dicembre 2013 e 81 soggetti visitati con il normale approccio diagnostico fra gennaio 2009 e dicembre 2011.  </w:t>
      </w:r>
    </w:p>
    <w:p w14:paraId="02A2FC63" w14:textId="77777777" w:rsidR="00C03360"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lastRenderedPageBreak/>
        <w:t xml:space="preserve">Nel FTP i </w:t>
      </w:r>
      <w:r w:rsidR="00C03360" w:rsidRPr="00882180">
        <w:rPr>
          <w:rFonts w:ascii="Times New Roman" w:hAnsi="Times New Roman" w:cs="Times New Roman"/>
          <w:sz w:val="24"/>
          <w:szCs w:val="24"/>
        </w:rPr>
        <w:t>medici di medicina generale (</w:t>
      </w:r>
      <w:r w:rsidRPr="00882180">
        <w:rPr>
          <w:rFonts w:ascii="Times New Roman" w:hAnsi="Times New Roman" w:cs="Times New Roman"/>
          <w:sz w:val="24"/>
          <w:szCs w:val="24"/>
        </w:rPr>
        <w:t>MMG</w:t>
      </w:r>
      <w:r w:rsidR="00C03360" w:rsidRPr="00882180">
        <w:rPr>
          <w:rFonts w:ascii="Times New Roman" w:hAnsi="Times New Roman" w:cs="Times New Roman"/>
          <w:sz w:val="24"/>
          <w:szCs w:val="24"/>
        </w:rPr>
        <w:t>)</w:t>
      </w:r>
      <w:r w:rsidRPr="00882180">
        <w:rPr>
          <w:rFonts w:ascii="Times New Roman" w:hAnsi="Times New Roman" w:cs="Times New Roman"/>
          <w:sz w:val="24"/>
          <w:szCs w:val="24"/>
        </w:rPr>
        <w:t xml:space="preserve"> erano stati addestrati in maniera precisa sulle presentazioni tipiche ed atipiche della AGC e i casi di sospetta AGC erano stati inviati a</w:t>
      </w:r>
      <w:r w:rsidR="00C03360" w:rsidRPr="00882180">
        <w:rPr>
          <w:rFonts w:ascii="Times New Roman" w:hAnsi="Times New Roman" w:cs="Times New Roman"/>
          <w:sz w:val="24"/>
          <w:szCs w:val="24"/>
        </w:rPr>
        <w:t>d un</w:t>
      </w:r>
      <w:r w:rsidRPr="00882180">
        <w:rPr>
          <w:rFonts w:ascii="Times New Roman" w:hAnsi="Times New Roman" w:cs="Times New Roman"/>
          <w:sz w:val="24"/>
          <w:szCs w:val="24"/>
        </w:rPr>
        <w:t xml:space="preserve"> reumatologo entro un giorno lavorativo dal</w:t>
      </w:r>
      <w:r w:rsidR="00C03360" w:rsidRPr="00882180">
        <w:rPr>
          <w:rFonts w:ascii="Times New Roman" w:hAnsi="Times New Roman" w:cs="Times New Roman"/>
          <w:sz w:val="24"/>
          <w:szCs w:val="24"/>
        </w:rPr>
        <w:t>la prima visita</w:t>
      </w:r>
      <w:r w:rsidRPr="00882180">
        <w:rPr>
          <w:rFonts w:ascii="Times New Roman" w:hAnsi="Times New Roman" w:cs="Times New Roman"/>
          <w:sz w:val="24"/>
          <w:szCs w:val="24"/>
        </w:rPr>
        <w:t xml:space="preserve">. In questo gruppo il 79% dei pazienti era stato sottoposto ad una visita specialistica reumatologia entro un giorno lavorativo, contro il 64,6% riscontrato nel normale iter diagnostico. </w:t>
      </w:r>
    </w:p>
    <w:p w14:paraId="41B922EE"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La perdita permanente della vista scendeva dal 37% osservato nell’iter diagnostico convenzionale al 9% nel gruppo sottoposto a FTP (OR=0,17 p=0,001). Anche a</w:t>
      </w:r>
      <w:r w:rsidR="00C03360" w:rsidRPr="00882180">
        <w:rPr>
          <w:rFonts w:ascii="Times New Roman" w:hAnsi="Times New Roman" w:cs="Times New Roman"/>
          <w:sz w:val="24"/>
          <w:szCs w:val="24"/>
        </w:rPr>
        <w:t>ggiustando</w:t>
      </w:r>
      <w:r w:rsidRPr="00882180">
        <w:rPr>
          <w:rFonts w:ascii="Times New Roman" w:hAnsi="Times New Roman" w:cs="Times New Roman"/>
          <w:sz w:val="24"/>
          <w:szCs w:val="24"/>
        </w:rPr>
        <w:t xml:space="preserve"> i risultati alla luce d</w:t>
      </w:r>
      <w:r w:rsidR="00C03360" w:rsidRPr="00882180">
        <w:rPr>
          <w:rFonts w:ascii="Times New Roman" w:hAnsi="Times New Roman" w:cs="Times New Roman"/>
          <w:sz w:val="24"/>
          <w:szCs w:val="24"/>
        </w:rPr>
        <w:t>e</w:t>
      </w:r>
      <w:r w:rsidRPr="00882180">
        <w:rPr>
          <w:rFonts w:ascii="Times New Roman" w:hAnsi="Times New Roman" w:cs="Times New Roman"/>
          <w:sz w:val="24"/>
          <w:szCs w:val="24"/>
        </w:rPr>
        <w:t>i parametri clinici e demografici, questi non cambiavano in maniera significativa rispetto a quelli inizialmente ottenuti (OR=0,08 p=0,001).</w:t>
      </w:r>
    </w:p>
    <w:p w14:paraId="767DCA71"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La conclusione dello studio, pur da confermare anche in altri contesti, è che riducendo il tempo tra l’insorgenza dei sintomi e la valutazione reumatologica, eliminando alcuni passaggi del complesso</w:t>
      </w:r>
      <w:r w:rsidRPr="00882180">
        <w:rPr>
          <w:rFonts w:ascii="Times New Roman" w:hAnsi="Times New Roman" w:cs="Times New Roman"/>
          <w:color w:val="FF0000"/>
          <w:sz w:val="24"/>
          <w:szCs w:val="24"/>
        </w:rPr>
        <w:t xml:space="preserve"> </w:t>
      </w:r>
      <w:r w:rsidRPr="00882180">
        <w:rPr>
          <w:rFonts w:ascii="Times New Roman" w:hAnsi="Times New Roman" w:cs="Times New Roman"/>
          <w:sz w:val="24"/>
          <w:szCs w:val="24"/>
        </w:rPr>
        <w:t xml:space="preserve">iter diagnostico ed incrementando l’attenzione e le conoscenze dei MMG verso la AGC, il FTP riduce </w:t>
      </w:r>
      <w:r w:rsidR="00C03360" w:rsidRPr="00882180">
        <w:rPr>
          <w:rFonts w:ascii="Times New Roman" w:hAnsi="Times New Roman" w:cs="Times New Roman"/>
          <w:sz w:val="24"/>
          <w:szCs w:val="24"/>
        </w:rPr>
        <w:t>l’incidenza di</w:t>
      </w:r>
      <w:r w:rsidRPr="00882180">
        <w:rPr>
          <w:rFonts w:ascii="Times New Roman" w:hAnsi="Times New Roman" w:cs="Times New Roman"/>
          <w:sz w:val="24"/>
          <w:szCs w:val="24"/>
        </w:rPr>
        <w:t xml:space="preserve"> perdita </w:t>
      </w:r>
      <w:r w:rsidR="00C03360" w:rsidRPr="00882180">
        <w:rPr>
          <w:rFonts w:ascii="Times New Roman" w:hAnsi="Times New Roman" w:cs="Times New Roman"/>
          <w:sz w:val="24"/>
          <w:szCs w:val="24"/>
        </w:rPr>
        <w:t xml:space="preserve">permanente </w:t>
      </w:r>
      <w:r w:rsidRPr="00882180">
        <w:rPr>
          <w:rFonts w:ascii="Times New Roman" w:hAnsi="Times New Roman" w:cs="Times New Roman"/>
          <w:sz w:val="24"/>
          <w:szCs w:val="24"/>
        </w:rPr>
        <w:t xml:space="preserve">della vista </w:t>
      </w:r>
      <w:r w:rsidR="005E4031"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{"citationItems":[{"id":"ITEM-1","itemData":{"DOI":"10.2147/eb.s170388","author":[{"dropping-particle":"","family":"Baig","given":"Iyza F","non-dropping-particle":"","parse-names":false,"suffix":""},{"dropping-particle":"","family":"Pascoe","given":"Alexis","non-dropping-particle":"","parse-names":false,"suffix":""},{"dropping-particle":"","family":"Kini","given":"Ashwini","non-dropping-particle":"","parse-names":false,"suffix":""},{"dropping-particle":"","family":"Lee","given":"Andrew G","non-dropping-particle":"","parse-names":false,"suffix":""}],"container-title":"Eye and Brain","id":"ITEM-1","issued":{"date-parts":[["2019"]]},"page":"1-12","title":"&lt;p&gt;Giant cell arteritis: early diagnosis is key&lt;/p&gt;","type":"article-journal","volume":"Volume 11"},"uris":["http://www.mendeley.com/documents/?uuid=f0445d99-347e-4568-90ab-15920232c07b"]}],"mendeley":{"formattedCitation":"&lt;sup&gt;4&lt;/sup&gt;","plainTextFormattedCitation":"4","previouslyFormattedCitation":"&lt;sup&gt;4&lt;/sup&gt;"},"properties":{"noteIndex":0},"schema":"https://github.com/citation-style-language/schema/raw/master/csl-citation.json"}</w:instrText>
      </w:r>
      <w:r w:rsidR="005E4031"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4</w:t>
      </w:r>
      <w:r w:rsidR="005E4031"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582DB0"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{"citationItems":[{"id":"ITEM-1","itemData":{"abstract":"OBJECTIVES: To investigate the effectiveness of a fast track pathway (FTP) on sight loss in patients with suspected giant cell arteritis (GCA). METHODS: A longitudinal observational cohort study was conducted in the secondary care rheumatology department. One hundred and thirty-five newly referred suspected GCA patients seen via the FTP (Jan. 2012-Dec. 2013) were compared to 81 patients seen through the conventional referral and review system (Jan. 2009-Dec. 2011). RESULTS: The FTP resulted in significant reduction in irreversible sight loss from 37.0% (as seen in the historical cohort 2009-2011) to 9.0 % (2012-2013, OR 0.17, p=0.001). Adjustment for clinical and demographic parameters including known risk factors for GCA associated blindness did not significantly change the primary result (OR 0.08, p=0.001). FTP resulted in a reduction of time from symptom onset to diagnosis, particularly by reduction of time from general practitioner's (GP) referral to the rheumatology review (79% of FTP patients were seen within one working day compared to 64.6 % in the conventional pathway, p=0.023). The FTP has seen a reduction in number of GP appointments. CONCLUSIONS: There was a significant reduction of permanent sight loss with a fast track GCA pathway. The effect may be due to multiple factors including better GP education and reduction in delayed diagnosis. These results need verification at other sites.","author":[{"dropping-particle":"","family":"Patil","given":"P.","non-dropping-particle":"","parse-names":false,"suffix":""},{"dropping-particle":"","family":"Williams","given":"M.","non-dropping-particle":"","parse-names":false,"suffix":""},{"dropping-particle":"","family":"Maw","given":"W. W.","non-dropping-particle":"","parse-names":false,"suffix":""},{"dropping-particle":"","family":"Achilleos","given":"K.","non-dropping-particle":"","parse-names":false,"suffix":""},{"dropping-particle":"","family":"Elsideeg","given":"S.","non-dropping-particle":"","parse-names":false,"suffix":""},{"dropping-particle":"","family":"Dejaco","given":"C.","non-dropping-particle":"","parse-names":false,"suffix":""},{"dropping-particle":"","family":"Borg","given":"F.","non-dropping-particle":"","parse-names":false,"suffix":""},{"dropping-particle":"","family":"Gupta","given":"S.","non-dropping-particle":"","parse-names":false,"suffix":""},{"dropping-particle":"","family":"Dasgupta","given":"B.","non-dropping-particle":"","parse-names":false,"suffix":""}],"container-title":"Clinical and experimental rheumatology","id":"ITEM-1","issue":"2","issued":{"date-parts":[["2015","3","1"]]},"title":"Fast track pathway reduces sight loss in giant cell arteritis: results of a longitudinal observational cohort study","type":"article-journal","volume":"33"},"uris":["http://www.mendeley.com/documents/?uuid=24e4766a-78ef-399c-89e3-afa73d6e663f"]}],"mendeley":{"formattedCitation":"&lt;sup&gt;6&lt;/sup&gt;","plainTextFormattedCitation":"6","previouslyFormattedCitation":"&lt;sup&gt;6&lt;/sup&gt;"},"properties":{"noteIndex":0},"schema":"https://github.com/citation-style-language/schema/raw/master/csl-citation.json"}</w:instrText>
      </w:r>
      <w:r w:rsidR="00582DB0"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6</w:t>
      </w:r>
      <w:r w:rsidR="00582DB0" w:rsidRPr="00882180">
        <w:rPr>
          <w:rFonts w:ascii="Times New Roman" w:hAnsi="Times New Roman" w:cs="Times New Roman"/>
          <w:sz w:val="24"/>
          <w:szCs w:val="24"/>
        </w:rPr>
        <w:fldChar w:fldCharType="end"/>
      </w:r>
      <w:r w:rsidR="00582DB0" w:rsidRPr="00882180">
        <w:rPr>
          <w:rFonts w:ascii="Times New Roman" w:hAnsi="Times New Roman" w:cs="Times New Roman"/>
          <w:sz w:val="24"/>
          <w:szCs w:val="24"/>
        </w:rPr>
        <w:t>.</w:t>
      </w:r>
    </w:p>
    <w:p w14:paraId="52CC5AEB"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In un secondo studio, pubblicato nel 2016, Hocevar et al. hanno analizzato come una diagnosi precoce ed un inizio di terapia altrettanto tempestivo influenzino la perdita permanente della vista, con lo scopo di dimostrare se effettivamente esistesse una “finestra di opportunità” </w:t>
      </w:r>
      <w:r w:rsidR="00C03360" w:rsidRPr="00882180">
        <w:rPr>
          <w:rFonts w:ascii="Times New Roman" w:hAnsi="Times New Roman" w:cs="Times New Roman"/>
          <w:sz w:val="24"/>
          <w:szCs w:val="24"/>
        </w:rPr>
        <w:t>nel quale</w:t>
      </w:r>
      <w:r w:rsidRPr="00882180">
        <w:rPr>
          <w:rFonts w:ascii="Times New Roman" w:hAnsi="Times New Roman" w:cs="Times New Roman"/>
          <w:sz w:val="24"/>
          <w:szCs w:val="24"/>
        </w:rPr>
        <w:t xml:space="preserve"> un intervento rapido</w:t>
      </w:r>
      <w:r w:rsidR="00C03360" w:rsidRPr="00882180">
        <w:rPr>
          <w:rFonts w:ascii="Times New Roman" w:hAnsi="Times New Roman" w:cs="Times New Roman"/>
          <w:sz w:val="24"/>
          <w:szCs w:val="24"/>
        </w:rPr>
        <w:t xml:space="preserve"> può migliorare la prognosi</w:t>
      </w:r>
      <w:r w:rsidRPr="00882180">
        <w:rPr>
          <w:rFonts w:ascii="Times New Roman" w:hAnsi="Times New Roman" w:cs="Times New Roman"/>
          <w:sz w:val="24"/>
          <w:szCs w:val="24"/>
        </w:rPr>
        <w:t xml:space="preserve">. Per lo studio </w:t>
      </w:r>
      <w:r w:rsidR="00C03360" w:rsidRPr="00882180">
        <w:rPr>
          <w:rFonts w:ascii="Times New Roman" w:hAnsi="Times New Roman" w:cs="Times New Roman"/>
          <w:sz w:val="24"/>
          <w:szCs w:val="24"/>
        </w:rPr>
        <w:t>è</w:t>
      </w:r>
      <w:r w:rsidRPr="00882180">
        <w:rPr>
          <w:rFonts w:ascii="Times New Roman" w:hAnsi="Times New Roman" w:cs="Times New Roman"/>
          <w:sz w:val="24"/>
          <w:szCs w:val="24"/>
        </w:rPr>
        <w:t xml:space="preserve"> stat</w:t>
      </w:r>
      <w:r w:rsidR="00C03360" w:rsidRPr="00882180">
        <w:rPr>
          <w:rFonts w:ascii="Times New Roman" w:hAnsi="Times New Roman" w:cs="Times New Roman"/>
          <w:sz w:val="24"/>
          <w:szCs w:val="24"/>
        </w:rPr>
        <w:t>a</w:t>
      </w:r>
      <w:r w:rsidRPr="00882180">
        <w:rPr>
          <w:rFonts w:ascii="Times New Roman" w:hAnsi="Times New Roman" w:cs="Times New Roman"/>
          <w:sz w:val="24"/>
          <w:szCs w:val="24"/>
        </w:rPr>
        <w:t xml:space="preserve"> pres</w:t>
      </w:r>
      <w:r w:rsidR="00C03360" w:rsidRPr="00882180">
        <w:rPr>
          <w:rFonts w:ascii="Times New Roman" w:hAnsi="Times New Roman" w:cs="Times New Roman"/>
          <w:sz w:val="24"/>
          <w:szCs w:val="24"/>
        </w:rPr>
        <w:t>a</w:t>
      </w:r>
      <w:r w:rsidRPr="00882180">
        <w:rPr>
          <w:rFonts w:ascii="Times New Roman" w:hAnsi="Times New Roman" w:cs="Times New Roman"/>
          <w:sz w:val="24"/>
          <w:szCs w:val="24"/>
        </w:rPr>
        <w:t xml:space="preserve"> in considerazione una coorte di 68 pazienti, con un’età media di 73 (67-76) anni e una durata media dei sintomi prima della diagnosi di 30 (14-70) giorni, arruolati in un centro reumatologico in </w:t>
      </w:r>
      <w:r w:rsidRPr="00882180">
        <w:rPr>
          <w:rFonts w:ascii="Times New Roman" w:hAnsi="Times New Roman" w:cs="Times New Roman"/>
          <w:sz w:val="24"/>
          <w:szCs w:val="24"/>
        </w:rPr>
        <w:lastRenderedPageBreak/>
        <w:t>Slovenia fra settembre 2011 e settembre 2014 e sottoposti ad esami clinici e laboratoristici prestabiliti a 12, 24, 48, 96 e 144 settimane dalla diagnosi. Di questi soggetti, 39 (57%) avevano avuto sintomi per meno di 31 giorni prima della diagnosi (in media 14 giorni (10-28), early A</w:t>
      </w:r>
      <w:r w:rsidR="00C03360" w:rsidRPr="00882180">
        <w:rPr>
          <w:rFonts w:ascii="Times New Roman" w:hAnsi="Times New Roman" w:cs="Times New Roman"/>
          <w:sz w:val="24"/>
          <w:szCs w:val="24"/>
        </w:rPr>
        <w:t>GC</w:t>
      </w:r>
      <w:r w:rsidRPr="00882180">
        <w:rPr>
          <w:rFonts w:ascii="Times New Roman" w:hAnsi="Times New Roman" w:cs="Times New Roman"/>
          <w:sz w:val="24"/>
          <w:szCs w:val="24"/>
        </w:rPr>
        <w:t>) mentre i rimanenti 29 dopo un periodo di 31 o più giorni (in media 90 giorni (60-120), late AGC).</w:t>
      </w:r>
    </w:p>
    <w:p w14:paraId="04C8CB9B" w14:textId="77777777" w:rsidR="001A08BD" w:rsidRPr="00882180" w:rsidRDefault="00C03360"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Nel corso di questo</w:t>
      </w:r>
      <w:r w:rsidR="001A08BD" w:rsidRPr="00882180">
        <w:rPr>
          <w:rFonts w:ascii="Times New Roman" w:hAnsi="Times New Roman" w:cs="Times New Roman"/>
          <w:sz w:val="24"/>
          <w:szCs w:val="24"/>
        </w:rPr>
        <w:t xml:space="preserve"> </w:t>
      </w:r>
      <w:r w:rsidRPr="00882180">
        <w:rPr>
          <w:rFonts w:ascii="Times New Roman" w:hAnsi="Times New Roman" w:cs="Times New Roman"/>
          <w:sz w:val="24"/>
          <w:szCs w:val="24"/>
        </w:rPr>
        <w:t>approccio</w:t>
      </w:r>
      <w:r w:rsidR="001A08BD" w:rsidRPr="00882180">
        <w:rPr>
          <w:rFonts w:ascii="Times New Roman" w:hAnsi="Times New Roman" w:cs="Times New Roman"/>
          <w:sz w:val="24"/>
          <w:szCs w:val="24"/>
        </w:rPr>
        <w:t xml:space="preserve"> clinico</w:t>
      </w:r>
      <w:r w:rsidRPr="00882180">
        <w:rPr>
          <w:rFonts w:ascii="Times New Roman" w:hAnsi="Times New Roman" w:cs="Times New Roman"/>
          <w:sz w:val="24"/>
          <w:szCs w:val="24"/>
        </w:rPr>
        <w:t>,</w:t>
      </w:r>
      <w:r w:rsidR="001A08BD" w:rsidRPr="00882180">
        <w:rPr>
          <w:rFonts w:ascii="Times New Roman" w:hAnsi="Times New Roman" w:cs="Times New Roman"/>
          <w:sz w:val="24"/>
          <w:szCs w:val="24"/>
        </w:rPr>
        <w:t xml:space="preserve"> i reumatologi eseguivano l’esame ecografico e la biopsia dell’arteria temporale entro un giorno dalla visita del paziente e ricevevano i risultati della biopsia entro tre ore dall’esecuzione. </w:t>
      </w:r>
    </w:p>
    <w:p w14:paraId="2637B1CE"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I risultati hanno evidenziato una netta riduzione del </w:t>
      </w:r>
      <w:r w:rsidR="00C03360" w:rsidRPr="00882180">
        <w:rPr>
          <w:rFonts w:ascii="Times New Roman" w:hAnsi="Times New Roman" w:cs="Times New Roman"/>
          <w:sz w:val="24"/>
          <w:szCs w:val="24"/>
        </w:rPr>
        <w:t>numero</w:t>
      </w:r>
      <w:r w:rsidRPr="00882180">
        <w:rPr>
          <w:rFonts w:ascii="Times New Roman" w:hAnsi="Times New Roman" w:cs="Times New Roman"/>
          <w:sz w:val="24"/>
          <w:szCs w:val="24"/>
        </w:rPr>
        <w:t xml:space="preserve"> di soggetti con perdita permanente della vista. Del 35% dei pazienti che ha sviluppato disturbi </w:t>
      </w:r>
      <w:r w:rsidR="00C03360" w:rsidRPr="00882180">
        <w:rPr>
          <w:rFonts w:ascii="Times New Roman" w:hAnsi="Times New Roman" w:cs="Times New Roman"/>
          <w:sz w:val="24"/>
          <w:szCs w:val="24"/>
        </w:rPr>
        <w:t>del visus</w:t>
      </w:r>
      <w:r w:rsidRPr="00882180">
        <w:rPr>
          <w:rFonts w:ascii="Times New Roman" w:hAnsi="Times New Roman" w:cs="Times New Roman"/>
          <w:sz w:val="24"/>
          <w:szCs w:val="24"/>
        </w:rPr>
        <w:t>, 4</w:t>
      </w:r>
      <w:r w:rsidR="00C03360" w:rsidRPr="00882180">
        <w:rPr>
          <w:rFonts w:ascii="Times New Roman" w:hAnsi="Times New Roman" w:cs="Times New Roman"/>
          <w:sz w:val="24"/>
          <w:szCs w:val="24"/>
        </w:rPr>
        <w:t xml:space="preserve"> </w:t>
      </w:r>
      <w:r w:rsidRPr="00882180">
        <w:rPr>
          <w:rFonts w:ascii="Times New Roman" w:hAnsi="Times New Roman" w:cs="Times New Roman"/>
          <w:sz w:val="24"/>
          <w:szCs w:val="24"/>
        </w:rPr>
        <w:t xml:space="preserve">(5,9%) hanno sviluppato perdita bilaterale permanente della vista: di questi solo 1 (1/39) faceva parte del gruppo di pazienti con diagnosi e terapia precoce mentre i restanti 3 (3/29) facevano parte del gruppo che seguiva il normale percorso diagnostico (p=0,117). </w:t>
      </w:r>
    </w:p>
    <w:p w14:paraId="41AD0407"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Non sono state identificate differenze significative invece ne</w:t>
      </w:r>
      <w:r w:rsidR="00C03360" w:rsidRPr="00882180">
        <w:rPr>
          <w:rFonts w:ascii="Times New Roman" w:hAnsi="Times New Roman" w:cs="Times New Roman"/>
          <w:sz w:val="24"/>
          <w:szCs w:val="24"/>
        </w:rPr>
        <w:t xml:space="preserve">lla frequenza </w:t>
      </w:r>
      <w:r w:rsidRPr="00882180">
        <w:rPr>
          <w:rFonts w:ascii="Times New Roman" w:hAnsi="Times New Roman" w:cs="Times New Roman"/>
          <w:sz w:val="24"/>
          <w:szCs w:val="24"/>
        </w:rPr>
        <w:t xml:space="preserve">di ricaduta a 25 settimane che rimangono intorno al 45% (43,6% nel gruppo early AGC e 48,3% nel gruppo late AGC), </w:t>
      </w:r>
      <w:r w:rsidR="00C03360" w:rsidRPr="00882180">
        <w:rPr>
          <w:rFonts w:ascii="Times New Roman" w:hAnsi="Times New Roman" w:cs="Times New Roman"/>
          <w:sz w:val="24"/>
          <w:szCs w:val="24"/>
        </w:rPr>
        <w:t xml:space="preserve">fatto attribuibile </w:t>
      </w:r>
      <w:r w:rsidRPr="00882180">
        <w:rPr>
          <w:rFonts w:ascii="Times New Roman" w:hAnsi="Times New Roman" w:cs="Times New Roman"/>
          <w:sz w:val="24"/>
          <w:szCs w:val="24"/>
        </w:rPr>
        <w:t xml:space="preserve">alla gravità e alle caratteristiche intrinseche della patologia e del singolo </w:t>
      </w:r>
      <w:r w:rsidR="00C03360" w:rsidRPr="00882180">
        <w:rPr>
          <w:rFonts w:ascii="Times New Roman" w:hAnsi="Times New Roman" w:cs="Times New Roman"/>
          <w:sz w:val="24"/>
          <w:szCs w:val="24"/>
        </w:rPr>
        <w:t>paziente</w:t>
      </w:r>
      <w:r w:rsidRPr="00882180">
        <w:rPr>
          <w:rFonts w:ascii="Times New Roman" w:hAnsi="Times New Roman" w:cs="Times New Roman"/>
          <w:sz w:val="24"/>
          <w:szCs w:val="24"/>
        </w:rPr>
        <w:t xml:space="preserve"> o che i soli glucorticoidi (GC) (terapia usata nella coorte studiata) non sono sufficiente a garantire una remissione permane</w:t>
      </w:r>
      <w:r w:rsidR="00C03360" w:rsidRPr="00882180">
        <w:rPr>
          <w:rFonts w:ascii="Times New Roman" w:hAnsi="Times New Roman" w:cs="Times New Roman"/>
          <w:sz w:val="24"/>
          <w:szCs w:val="24"/>
        </w:rPr>
        <w:t>n</w:t>
      </w:r>
      <w:r w:rsidRPr="00882180">
        <w:rPr>
          <w:rFonts w:ascii="Times New Roman" w:hAnsi="Times New Roman" w:cs="Times New Roman"/>
          <w:sz w:val="24"/>
          <w:szCs w:val="24"/>
        </w:rPr>
        <w:t xml:space="preserve">te della malattia </w:t>
      </w:r>
      <w:r w:rsidR="0096285A"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{"citationItems":[{"id":"ITEM-1","itemData":{"DOI":"10.2147/eb.s170388","author":[{"dropping-particle":"","family":"Baig","given":"Iyza F","non-dropping-particle":"","parse-names":false,"suffix":""},{"dropping-particle":"","family":"Pascoe","given":"Alexis","non-dropping-particle":"","parse-names":false,"suffix":""},{"dropping-particle":"","family":"Kini","given":"Ashwini","non-dropping-particle":"","parse-names":false,"suffix":""},{"dropping-particle":"","family":"Lee","given":"Andrew G","non-dropping-particle":"","parse-names":false,"suffix":""}],"container-title":"Eye and Brain","id":"ITEM-1","issued":{"date-parts":[["2019"]]},"page":"1-12","title":"&lt;p&gt;Giant cell arteritis: early diagnosis is key&lt;/p&gt;","type":"article-journal","volume":"Volume 11"},"uris":["http://www.mendeley.com/documents/?uuid=f0445d99-347e-4568-90ab-15920232c07b"]}],"mendeley":{"formattedCitation":"&lt;sup&gt;4&lt;/sup&gt;","plainTextFormattedCitation":"4","previouslyFormattedCitation":"&lt;sup&gt;4&lt;/sup&gt;"},"properties":{"noteIndex":0},"schema":"https://github.com/citation-style-language/schema/raw/master/csl-citation.json"}</w:instrText>
      </w:r>
      <w:r w:rsidR="0096285A"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4</w:t>
      </w:r>
      <w:r w:rsidR="0096285A"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782FB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{"citationItems":[{"id":"ITEM-1","itemData":{"DOI":"10.1097/MD.0000000000003210","ISBN":"0000000000","ISSN":"15365964","PMID":"27057850","abstract":"To determine the incidence of permanent visual loss (PVL) in giant cell arteritis (GCA) and the GCA relapse rate during glucocorticoid (GC) tapering. This prospective, longitudinal single secondary/tertiary rheumatology centre study was conducted between September 2011 and September 2014 in Slovenia. Predetermined clinical and laboratory tests were performed at 12, 24, 48, 96, and 144 weeks after diagnosis. Sixty-eight GCA patients (72.1% female), with a median (IQR) age of 73.2 (67.3-76.1) years and a symptom duration before the diagnosis of a median (IQR) 30 (14-70) days were included. Thirty-nine of 68 patients had symptoms for less than 31 days (14 (10-28) days-early GCA) and 29/68 for 31 days or longer (90 (60-120) days-late GCA). Four (5.9%) patients presented with PVL (1 early GCA). The median (IQR) follow-up was (IQR) 104 (53-126) weeks. GCA relapsed in 17/39 (43.6%) and 14/29 (48.3%) in early and late GCA, respectively. The median (IQR) time to the first relapse was 24.8 (13.6-46.5) weeks (early GCA 14 (13-34) weeks; late GCA 25 (22-48) weeks, P=0.117), at the methyl-prednisolone dose of 6.0 (4.0-12.0) mg. The patients who relapsed had significantly higher levels of inflammation parameters at the baseline (including ESR, CRP, serum amyloid A, haptoglobin, and fibrinogen). An early GCA diagnosis and prompt GC treatment decreased the PVL rate in comparison to historic controls, but seem to have no impact on the frequency of relapses, which are predicted by the high baseline levels of the biomarkers of inflammation. Copyright © 2016 Wolters Kluwer Health, Inc. All rights reserved.","author":[{"dropping-particle":"","family":"Hocevar","given":"Alojzija","non-dropping-particle":"","parse-names":false,"suffix":""},{"dropping-particle":"","family":"Rotar","given":"Ziga","non-dropping-particle":"","parse-names":false,"suffix":""},{"dropping-particle":"","family":"Jese","given":"Rok","non-dropping-particle":"","parse-names":false,"suffix":""},{"dropping-particle":"","family":"Semrl","given":"Snezna Sodin","non-dropping-particle":"","parse-names":false,"suffix":""},{"dropping-particle":"","family":"Pizem","given":"Joze","non-dropping-particle":"","parse-names":false,"suffix":""},{"dropping-particle":"","family":"Hawlina","given":"Marko","non-dropping-particle":"","parse-names":false,"suffix":""},{"dropping-particle":"","family":"Tomsic","given":"Matija","non-dropping-particle":"","parse-names":false,"suffix":""}],"container-title":"Medicine (United States)","id":"ITEM-1","issue":"14","issued":{"date-parts":[["2016"]]},"page":"1-5","title":"Do Early Diagnosis and Glucocorticoid Treatment Decrease the Risk of Permanent Visual Loss and Early Relapses in Giant Cell Arteritis","type":"article-journal","volume":"95"},"uris":["http://www.mendeley.com/documents/?uuid=de0c25f5-a184-40ab-a8f0-f1b698392cd6"]}],"mendeley":{"formattedCitation":"&lt;sup&gt;5&lt;/sup&gt;","plainTextFormattedCitation":"5","previouslyFormattedCitation":"&lt;sup&gt;5&lt;/sup&gt;"},"properties":{"noteIndex":0},"schema":"https://github.com/citation-style-language/schema/raw/master/csl-citation.json"}</w:instrText>
      </w:r>
      <w:r w:rsidR="00782FB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5</w:t>
      </w:r>
      <w:r w:rsidR="00782FB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2580525E"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Il terzo studio, condotto da Diamantopoulos et al., analizzava il risultato di una FTC, in cui il trattamento della AGC era iniziato precocemente basandosi sui risultati dell’ecografia, comparandolo con il normale processo di valutazione. </w:t>
      </w:r>
      <w:r w:rsidRPr="00882180">
        <w:rPr>
          <w:rFonts w:ascii="Times New Roman" w:hAnsi="Times New Roman" w:cs="Times New Roman"/>
          <w:sz w:val="24"/>
          <w:szCs w:val="24"/>
        </w:rPr>
        <w:lastRenderedPageBreak/>
        <w:t>L’indagine ultrasonografica veniva posta come centro del processo diagnostico perché non invasiva, veloce</w:t>
      </w:r>
      <w:r w:rsidR="0059494D" w:rsidRPr="00882180">
        <w:rPr>
          <w:rFonts w:ascii="Times New Roman" w:hAnsi="Times New Roman" w:cs="Times New Roman"/>
          <w:sz w:val="24"/>
          <w:szCs w:val="24"/>
        </w:rPr>
        <w:t>,</w:t>
      </w:r>
      <w:r w:rsidRPr="00882180">
        <w:rPr>
          <w:rFonts w:ascii="Times New Roman" w:hAnsi="Times New Roman" w:cs="Times New Roman"/>
          <w:sz w:val="24"/>
          <w:szCs w:val="24"/>
        </w:rPr>
        <w:t xml:space="preserve"> immediatamente disponibile e facile da eseguire anche in contesti ambulatoriali</w:t>
      </w:r>
      <w:r w:rsidR="0059494D" w:rsidRPr="00882180">
        <w:rPr>
          <w:rFonts w:ascii="Times New Roman" w:hAnsi="Times New Roman" w:cs="Times New Roman"/>
          <w:sz w:val="24"/>
          <w:szCs w:val="24"/>
        </w:rPr>
        <w:t>.</w:t>
      </w:r>
    </w:p>
    <w:p w14:paraId="46E4A11C"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Allo studio hanno preso parte 75 pazienti, arruolati fra marzo 2010 ed ottobre 2014 in una clinica reumatologica norvegese. Di questi, 43 sono stati valutati tramite FTC, mentre i rimanenti 32 con l’iter diagnostico tradizionale.</w:t>
      </w:r>
    </w:p>
    <w:p w14:paraId="4C059B85"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I risultati hanno dimostrato una riduzione del rischio relativo di perdita permanente della vista dell’88%, passando da un valore del 21,5%, dei soggetti appartenenti al gruppo sottoposto all’iter diagnostico tradizionale, al 2,4% dei soggetti del gruppo FTC. Hanno evidenziato inoltre che il metodo FTC apporta anche un vantaggio in termine di cost-effectiveness riducendo sensibilmente i giorni di ricovero ospedaliero necessari per trattare i pazienti affetti dalle complicanze (3,6 contro 0,6 giorni p&lt;0,0005) </w:t>
      </w:r>
      <w:r w:rsidR="0096285A"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{"citationItems":[{"id":"ITEM-1","itemData":{"DOI":"10.2147/eb.s170388","author":[{"dropping-particle":"","family":"Baig","given":"Iyza F","non-dropping-particle":"","parse-names":false,"suffix":""},{"dropping-particle":"","family":"Pascoe","given":"Alexis","non-dropping-particle":"","parse-names":false,"suffix":""},{"dropping-particle":"","family":"Kini","given":"Ashwini","non-dropping-particle":"","parse-names":false,"suffix":""},{"dropping-particle":"","family":"Lee","given":"Andrew G","non-dropping-particle":"","parse-names":false,"suffix":""}],"container-title":"Eye and Brain","id":"ITEM-1","issued":{"date-parts":[["2019"]]},"page":"1-12","title":"&lt;p&gt;Giant cell arteritis: early diagnosis is key&lt;/p&gt;","type":"article-journal","volume":"Volume 11"},"uris":["http://www.mendeley.com/documents/?uuid=f0445d99-347e-4568-90ab-15920232c07b"]}],"mendeley":{"formattedCitation":"&lt;sup&gt;4&lt;/sup&gt;","plainTextFormattedCitation":"4","previouslyFormattedCitation":"&lt;sup&gt;4&lt;/sup&gt;"},"properties":{"noteIndex":0},"schema":"https://github.com/citation-style-language/schema/raw/master/csl-citation.json"}</w:instrText>
      </w:r>
      <w:r w:rsidR="0096285A"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4</w:t>
      </w:r>
      <w:r w:rsidR="0096285A"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p>
    <w:p w14:paraId="0E2C09D2"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La problematica per quanto riguarda la diagnosi della AGC è stata analizzata in seguito da Helliwell et al nel 2018, in uno studio sulla AGC che, per le sue caratteristiche, risulta il primo nel suo genere. È infatti la prima volta in cui si indaga l’approccio alla AGC non più all’interno di un contesto specialistico, ma nell’ambito della medicina generale. Oggetto dello studio sono infatti i MMG del Regno Unito dal momento che rappresentano di norma, la prima figura cui i pazienti si rivolgono. Lo scopo era indagare come i MMG si approccino alla AGC, dal punto di vista della diagnosi, della terapia e del follow up.</w:t>
      </w:r>
    </w:p>
    <w:p w14:paraId="4A818239"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Uno studio simile era già stato condotto dallo stesso gruppo di ricercatori per quanto riguarda la polimialgia reumatica (PMR) </w:t>
      </w:r>
      <w:r w:rsidR="00C31725" w:rsidRPr="00882180">
        <w:rPr>
          <w:rFonts w:ascii="Times New Roman" w:hAnsi="Times New Roman"/>
          <w:sz w:val="24"/>
          <w:szCs w:val="24"/>
        </w:rPr>
        <w:fldChar w:fldCharType="begin" w:fldLock="1"/>
      </w:r>
      <w:r w:rsidR="00F66ECC" w:rsidRPr="00882180">
        <w:rPr>
          <w:rFonts w:ascii="Times New Roman" w:hAnsi="Times New Roman"/>
          <w:sz w:val="24"/>
          <w:szCs w:val="24"/>
        </w:rPr>
        <w:instrText>ADDIN CSL_CITATION {"citationItems":[{"id":"ITEM-1","itemData":{"DOI":"10.3399/bjgp18x699557","ISSN":"0960-1643","abstract":"BACKGROUND: Polymyalgia rheumatica (PMR) is one of the most common inflammatory arthritic disorders seen in older individuals. Most patients with PMR are diagnosed and managed exclusively in general practice, yet primary care-focused research is lacking. AIM: To identify and explore the challenges of diagnosis and management of PMR in general practice. DESIGN AND SETTING: A multi-methods study in UK primary care. METHOD: The multi-methods study comprised two complementary studies: a national questionnaire survey of 5000 randomly selected GPs from across the UK; and a qualitative semi-structured telephone interview study of UK GPs. Simple descriptive statistics were used to analyse questionnaire data. A thematic approach was used to analyse verbatim transcripts of the GP interviews. RESULTS: In total, 1249 (25%) GPs responded to the questionnaire survey. From this total, 24 GPs were interviewed for the qualitative study. Features used by GPs to identify PMR were largely in line with current guidance. Diagnosis was found to be challenging, with GPs relying heavily on response to treatment with glucocorticoids. Investigations advised by current British PMR guidance to attempt to rule out other causes for symptoms were not routinely requested. Concerns surrounding ongoing treatment with glucocorticoids were widespread in relation to both potential adverse effects and ongoing monitoring. CONCLUSION: Focused strategies to investigate and therefore exclude non-PMR differential diagnoses are required for patients with new-onset suspected PMR symptoms. Additionally, ongoing active review for alternative causes for symptoms as well as vigilance for treatment complications needs to be implemented.","author":[{"dropping-particle":"","family":"Helliwell","given":"Toby","non-dropping-particle":"","parse-names":false,"suffix":""},{"dropping-particle":"","family":"Muller","given":"Sara","non-dropping-particle":"","parse-names":false,"suffix":""},{"dropping-particle":"","family":"Hider","given":"Samantha L","non-dropping-particle":"","parse-names":false,"suffix":""},{"dropping-particle":"","family":"Zwierska","given":"Irena","non-dropping-particle":"","parse-names":false,"suffix":""},{"dropping-particle":"","family":"Lawton","given":"Sarah","non-dropping-particle":"","parse-names":false,"suffix":""},{"dropping-particle":"","family":"Richardson","given":"Jane","non-dropping-particle":"","parse-names":false,"suffix":""},{"dropping-particle":"","family":"Mallen","given":"Christian","non-dropping-particle":"","parse-names":false,"suffix":""}],"container-title":"British Journal of General Practice","id":"ITEM-1","issue":"676","issued":{"date-parts":[["2018"]]},"page":"e783-e793","title":"Challenges of diagnosing and managing polymyalgia rheumatica: a multi-methods study in UK general practice","type":"article-journal","volume":"68"},"uris":["http://www.mendeley.com/documents/?uuid=bae3ef68-4d17-4b44-b306-5dd82eaa7f99"]}],"mendeley":{"formattedCitation":"&lt;sup&gt;7&lt;/sup&gt;","plainTextFormattedCitation":"7","previouslyFormattedCitation":"&lt;sup&gt;7&lt;/sup&gt;"},"properties":{"noteIndex":0},"schema":"https://github.com/citation-style-language/schema/raw/master/csl-citation.json"}</w:instrText>
      </w:r>
      <w:r w:rsidR="00C31725" w:rsidRPr="00882180">
        <w:rPr>
          <w:rFonts w:ascii="Times New Roman" w:hAnsi="Times New Roman"/>
          <w:sz w:val="24"/>
          <w:szCs w:val="24"/>
        </w:rPr>
        <w:fldChar w:fldCharType="separate"/>
      </w:r>
      <w:r w:rsidR="00C41B3B" w:rsidRPr="00882180">
        <w:rPr>
          <w:rFonts w:ascii="Times New Roman" w:hAnsi="Times New Roman"/>
          <w:noProof/>
          <w:sz w:val="24"/>
          <w:szCs w:val="24"/>
          <w:vertAlign w:val="superscript"/>
        </w:rPr>
        <w:t>7</w:t>
      </w:r>
      <w:r w:rsidR="00C31725" w:rsidRPr="00882180">
        <w:rPr>
          <w:rFonts w:ascii="Times New Roman" w:hAnsi="Times New Roman"/>
          <w:sz w:val="24"/>
          <w:szCs w:val="24"/>
        </w:rPr>
        <w:fldChar w:fldCharType="end"/>
      </w:r>
      <w:r w:rsidRPr="00882180">
        <w:rPr>
          <w:rFonts w:ascii="Times New Roman" w:hAnsi="Times New Roman"/>
          <w:sz w:val="24"/>
          <w:szCs w:val="24"/>
        </w:rPr>
        <w:t>.</w:t>
      </w:r>
    </w:p>
    <w:p w14:paraId="656DA2BD"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lastRenderedPageBreak/>
        <w:t>Seguendo lo stesso metodo dello studio sulla PMR, i dati sono stati raccolti tramite l’invio di un questionario, seguito da due reminder a distanza rispettivamente di 2 e 4 settimane dal primo invio, a 5000 MMG scelti in maniera casuale e completato poi con un’intervista telefonica a 24</w:t>
      </w:r>
      <w:r w:rsidR="0059494D" w:rsidRPr="00882180">
        <w:rPr>
          <w:rFonts w:ascii="Times New Roman" w:hAnsi="Times New Roman"/>
          <w:sz w:val="24"/>
          <w:szCs w:val="24"/>
        </w:rPr>
        <w:t xml:space="preserve"> MMG</w:t>
      </w:r>
      <w:r w:rsidRPr="00882180">
        <w:rPr>
          <w:rFonts w:ascii="Times New Roman" w:hAnsi="Times New Roman"/>
          <w:sz w:val="24"/>
          <w:szCs w:val="24"/>
        </w:rPr>
        <w:t>.</w:t>
      </w:r>
    </w:p>
    <w:p w14:paraId="3A092B4A"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I risultati, tratti dai 1249 (2</w:t>
      </w:r>
      <w:r w:rsidR="00AF17BA" w:rsidRPr="00882180">
        <w:rPr>
          <w:rFonts w:ascii="Times New Roman" w:hAnsi="Times New Roman"/>
          <w:sz w:val="24"/>
          <w:szCs w:val="24"/>
        </w:rPr>
        <w:t>5</w:t>
      </w:r>
      <w:r w:rsidRPr="00882180">
        <w:rPr>
          <w:rFonts w:ascii="Times New Roman" w:hAnsi="Times New Roman"/>
          <w:sz w:val="24"/>
          <w:szCs w:val="24"/>
        </w:rPr>
        <w:t xml:space="preserve">%) questionari compilati rivelavano che i MMG inglesi si affidano in maniera eccessiva al riscontro di cefalea di nuova insorgenza per la diagnosi di AGC; il 21,9% dei MMG che avevano risposto diceva infatti di escludere la AGC quando non fosse presente tra i sintomi la cefalea, evidenziando anche una limitata conoscenza dell’ampio ventaglio di sintomi possibili della malattia, in particolare dei meno comuni. Fino ad un terzo dei medici rispondenti dichiarava inoltre di non iniziare la terapia con GC pima di una visita specialistica. Dai risultati del questionario emergevano anche difficoltà per i MMG nell’ottenere visite specialistiche per i propri pazienti e la mancanza di precisi pathway di riferimento per la diagnosi, mettendo in luce marcate differenze nell’approccio a seconda della localizzazione geografica. </w:t>
      </w:r>
    </w:p>
    <w:p w14:paraId="0CCE8EAD"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Le conclusioni tratte da questo studio indicano dunque la necessità di stabilire uno standard generale per la diagnosi e il trattamento della AGC e di avviare programmi di “fast-track approach” per migliorare le cure e gli esiti per i pazienti con AGC </w:t>
      </w:r>
      <w:r w:rsidR="00C31725" w:rsidRPr="00882180">
        <w:rPr>
          <w:rFonts w:ascii="Times New Roman" w:hAnsi="Times New Roman"/>
          <w:sz w:val="24"/>
          <w:szCs w:val="24"/>
        </w:rPr>
        <w:fldChar w:fldCharType="begin" w:fldLock="1"/>
      </w:r>
      <w:r w:rsidR="00F66ECC" w:rsidRPr="00882180">
        <w:rPr>
          <w:rFonts w:ascii="Times New Roman" w:hAnsi="Times New Roman"/>
          <w:sz w:val="24"/>
          <w:szCs w:val="24"/>
        </w:rPr>
        <w:instrText>ADDIN CSL_CITATION {"citationItems":[{"id":"ITEM-1","itemData":{"DOI":"10.1136/bmjopen-2017-019320","ISSN":"20446055","abstract":"background In the UK, general practitioners (GPs) are usually the first medical contact for patients with suspected giant cell arteritis (GCA). While rare, it is critical not to miss, as delayed treatment can lead to significant complications including permanent visual loss. To date, little is known about the approach and challenges to diagnosis and management of GCA by GPs. Objective To investigate the diagnosis and management of patients with suspected GCA in UK general practice. Design and participants A multimethods approach was taken, comprising a postal survey of 5000 randomly selected UK GPs and semistructured telephone interviews of 24 GPs from across the UK. setting UK general practice. results 1249 questionnaires were returned. 879 responders (70%) indicated that they had diagnosed and managed a patient with GCA. A variety of clinical features were used to identify GCA. 21.9% suggested that they would exclude GCA as a diagnosis if headache was absent and around one-third do not routinely initiate glucocorticoid treatment prior to referral. Significant regional variations in referral pathways were reported. Thematic analysis of interview transcripts highlighted fears relating to a missed diagnosis of GCA and the non-specific nature of early GCA presentation. Accessing specialist care was highlighted as challenging by many GPs and that a national standard fast-track pathway is lacking to support this patient group. Additionally there were significant concerns regarding potential adverse effects relating to long-term treatment with glucocorticoids. Conclusion GPs appear to over-rely on headache to identify GCA and marked geographical differences in management, with conflicting referral pathways and difficulties in accessing appropriate services exist in the UK. A national standard for fast-tracking patients with suspected GCA to relevant specialists would be beneficial to improve care and outcomes for patients with GCA.","author":[{"dropping-particle":"","family":"Helliwell","given":"Toby","non-dropping-particle":"","parse-names":false,"suffix":""},{"dropping-particle":"","family":"Muller","given":"Sara","non-dropping-particle":"","parse-names":false,"suffix":""},{"dropping-particle":"","family":"Hider","given":"Samantha L.","non-dropping-particle":"","parse-names":false,"suffix":""},{"dropping-particle":"","family":"Prior","given":"James A.","non-dropping-particle":"","parse-names":false,"suffix":""},{"dropping-particle":"","family":"Richardson","given":"Jane C.","non-dropping-particle":"","parse-names":false,"suffix":""},{"dropping-particle":"","family":"Mallen","given":"Christian D.","non-dropping-particle":"","parse-names":false,"suffix":""}],"container-title":"BMJ Open","id":"ITEM-1","issue":"2","issued":{"date-parts":[["2018"]]},"page":"1-8","title":"Challenges of diagnosis and management of giant cell arteritis in general practice: A multimethods study","type":"article-journal","volume":"8"},"uris":["http://www.mendeley.com/documents/?uuid=b14cbd1a-f7e6-4d66-b09c-671a0740f540"]}],"mendeley":{"formattedCitation":"&lt;sup&gt;8&lt;/sup&gt;","plainTextFormattedCitation":"8","previouslyFormattedCitation":"&lt;sup&gt;8&lt;/sup&gt;"},"properties":{"noteIndex":0},"schema":"https://github.com/citation-style-language/schema/raw/master/csl-citation.json"}</w:instrText>
      </w:r>
      <w:r w:rsidR="00C31725" w:rsidRPr="00882180">
        <w:rPr>
          <w:rFonts w:ascii="Times New Roman" w:hAnsi="Times New Roman"/>
          <w:sz w:val="24"/>
          <w:szCs w:val="24"/>
        </w:rPr>
        <w:fldChar w:fldCharType="separate"/>
      </w:r>
      <w:r w:rsidR="00C41B3B" w:rsidRPr="00882180">
        <w:rPr>
          <w:rFonts w:ascii="Times New Roman" w:hAnsi="Times New Roman"/>
          <w:noProof/>
          <w:sz w:val="24"/>
          <w:szCs w:val="24"/>
          <w:vertAlign w:val="superscript"/>
        </w:rPr>
        <w:t>8</w:t>
      </w:r>
      <w:r w:rsidR="00C31725" w:rsidRPr="00882180">
        <w:rPr>
          <w:rFonts w:ascii="Times New Roman" w:hAnsi="Times New Roman"/>
          <w:sz w:val="24"/>
          <w:szCs w:val="24"/>
        </w:rPr>
        <w:fldChar w:fldCharType="end"/>
      </w:r>
      <w:r w:rsidRPr="00882180">
        <w:rPr>
          <w:rFonts w:ascii="Times New Roman" w:hAnsi="Times New Roman"/>
          <w:sz w:val="24"/>
          <w:szCs w:val="24"/>
        </w:rPr>
        <w:t>.</w:t>
      </w:r>
    </w:p>
    <w:p w14:paraId="6B443FB0" w14:textId="77777777" w:rsidR="001A08BD" w:rsidRPr="00882180" w:rsidRDefault="001A08BD" w:rsidP="00882180">
      <w:pPr>
        <w:pStyle w:val="Paragrafoelenco"/>
        <w:spacing w:line="480" w:lineRule="auto"/>
        <w:ind w:left="0"/>
        <w:jc w:val="both"/>
        <w:rPr>
          <w:rFonts w:ascii="Times New Roman" w:hAnsi="Times New Roman"/>
          <w:sz w:val="24"/>
          <w:szCs w:val="24"/>
        </w:rPr>
      </w:pPr>
    </w:p>
    <w:p w14:paraId="344C2FA9"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Partendo da questo studio che evidenziava le lacune nella diagnosi e nella rapidità di intervento riguardo la AGC nella medicina generale inglese, abbiamo pensato di studiare più nel dettaglio la situazione nella sanità italiana. </w:t>
      </w:r>
    </w:p>
    <w:p w14:paraId="69CD2F73"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lastRenderedPageBreak/>
        <w:t>L’idea di replicare un’indagine di questo tipo nasce dal rilievo di alcune di queste criticità nell’iter dei pazienti con AGC nella pratica clinica: spesso infatti i pazienti giungono alla visita reumatologica quando già presentavano alcune complicazioni della patologia.</w:t>
      </w:r>
    </w:p>
    <w:p w14:paraId="7FA22C6F" w14:textId="77777777" w:rsidR="001A08BD" w:rsidRPr="00882180" w:rsidRDefault="001A08BD" w:rsidP="00882180">
      <w:pPr>
        <w:pStyle w:val="Paragrafoelenco"/>
        <w:spacing w:line="480" w:lineRule="auto"/>
        <w:ind w:left="0"/>
        <w:jc w:val="both"/>
        <w:rPr>
          <w:rFonts w:ascii="Times New Roman" w:hAnsi="Times New Roman"/>
          <w:sz w:val="24"/>
          <w:szCs w:val="24"/>
        </w:rPr>
      </w:pPr>
    </w:p>
    <w:p w14:paraId="0B8FA07A"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Esemplificativo di questa situazione è il caso di una paziente di 76 anni, </w:t>
      </w:r>
      <w:r w:rsidR="00AF17BA" w:rsidRPr="00882180">
        <w:rPr>
          <w:rFonts w:ascii="Times New Roman" w:hAnsi="Times New Roman"/>
          <w:sz w:val="24"/>
          <w:szCs w:val="24"/>
        </w:rPr>
        <w:t>visitata</w:t>
      </w:r>
      <w:r w:rsidRPr="00882180">
        <w:rPr>
          <w:rFonts w:ascii="Times New Roman" w:hAnsi="Times New Roman"/>
          <w:sz w:val="24"/>
          <w:szCs w:val="24"/>
        </w:rPr>
        <w:t xml:space="preserve"> nel 2013.</w:t>
      </w:r>
    </w:p>
    <w:p w14:paraId="200C2F6E" w14:textId="6C441B0F"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Il 1</w:t>
      </w:r>
      <w:r w:rsidR="0028528D">
        <w:rPr>
          <w:rFonts w:ascii="Times New Roman" w:hAnsi="Times New Roman"/>
          <w:sz w:val="24"/>
          <w:szCs w:val="24"/>
        </w:rPr>
        <w:t xml:space="preserve"> </w:t>
      </w:r>
      <w:r w:rsidR="00AF17BA" w:rsidRPr="00882180">
        <w:rPr>
          <w:rFonts w:ascii="Times New Roman" w:hAnsi="Times New Roman"/>
          <w:sz w:val="24"/>
          <w:szCs w:val="24"/>
        </w:rPr>
        <w:t>f</w:t>
      </w:r>
      <w:r w:rsidRPr="00882180">
        <w:rPr>
          <w:rFonts w:ascii="Times New Roman" w:hAnsi="Times New Roman"/>
          <w:sz w:val="24"/>
          <w:szCs w:val="24"/>
        </w:rPr>
        <w:t>ebbraio di quell’anno la paziente iniziò a lamentare una cefalea di nuova insorgenza (frontale, zigomatica, temporo-mandibolare) e</w:t>
      </w:r>
      <w:r w:rsidR="0028528D">
        <w:rPr>
          <w:rFonts w:ascii="Times New Roman" w:hAnsi="Times New Roman"/>
          <w:sz w:val="24"/>
          <w:szCs w:val="24"/>
        </w:rPr>
        <w:t xml:space="preserve"> </w:t>
      </w:r>
      <w:r w:rsidRPr="00882180">
        <w:rPr>
          <w:rFonts w:ascii="Times New Roman" w:hAnsi="Times New Roman"/>
          <w:sz w:val="24"/>
          <w:szCs w:val="24"/>
        </w:rPr>
        <w:t>claudicatio masticatoria. I sintomi vennero all’inizio minimizzati dai famigliari, che li ritennero un fastidio banale, anche perché la sintomatologia venne parzialmente controllata con l’assunzione di ketoprofene. Questo ritardò di alcuni giorni la prima richiesta di cure mediche.</w:t>
      </w:r>
    </w:p>
    <w:p w14:paraId="0E8450E7"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Non recedendo la sintomatologia il 4 febbraio 2013 la paziente venne visitata dall’ odontoiatra, che pose diagnosi di odontalgia, trattata con terapia antibiotica e analgesici</w:t>
      </w:r>
      <w:r w:rsidR="00AF17BA" w:rsidRPr="00882180">
        <w:rPr>
          <w:rFonts w:ascii="Times New Roman" w:hAnsi="Times New Roman"/>
          <w:sz w:val="24"/>
          <w:szCs w:val="24"/>
        </w:rPr>
        <w:t xml:space="preserve"> senza risultato</w:t>
      </w:r>
      <w:r w:rsidRPr="00882180">
        <w:rPr>
          <w:rFonts w:ascii="Times New Roman" w:hAnsi="Times New Roman"/>
          <w:sz w:val="24"/>
          <w:szCs w:val="24"/>
        </w:rPr>
        <w:t>.</w:t>
      </w:r>
    </w:p>
    <w:p w14:paraId="05205B67"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Il 7</w:t>
      </w:r>
      <w:r w:rsidR="00AF17BA" w:rsidRPr="00882180">
        <w:rPr>
          <w:rFonts w:ascii="Times New Roman" w:hAnsi="Times New Roman"/>
          <w:sz w:val="24"/>
          <w:szCs w:val="24"/>
        </w:rPr>
        <w:t xml:space="preserve"> </w:t>
      </w:r>
      <w:r w:rsidRPr="00882180">
        <w:rPr>
          <w:rFonts w:ascii="Times New Roman" w:hAnsi="Times New Roman"/>
          <w:sz w:val="24"/>
          <w:szCs w:val="24"/>
        </w:rPr>
        <w:t>febbraio 2013 insorsero febbricola e scotoma, ed il MMG della paziente, consultato per la prima volta, la inviò correttamente al pronto soccorso.</w:t>
      </w:r>
    </w:p>
    <w:p w14:paraId="455F3BB6"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Il 9</w:t>
      </w:r>
      <w:r w:rsidR="00AF17BA" w:rsidRPr="00882180">
        <w:rPr>
          <w:rFonts w:ascii="Times New Roman" w:hAnsi="Times New Roman"/>
          <w:sz w:val="24"/>
          <w:szCs w:val="24"/>
        </w:rPr>
        <w:t xml:space="preserve"> </w:t>
      </w:r>
      <w:r w:rsidRPr="00882180">
        <w:rPr>
          <w:rFonts w:ascii="Times New Roman" w:hAnsi="Times New Roman"/>
          <w:sz w:val="24"/>
          <w:szCs w:val="24"/>
        </w:rPr>
        <w:t>febbraio 2013, nel reparto di medicina di emergenza, la paziente fu sottoposta prima a visita neurologica, con diagnosi di neuropatia trigeminale, e poi oftalmologica con diagnosi di occlusione aterosclerotica dell’arteria ciliare. Le vennero prescritti quindi eparina, ASA e pregabalin e la paziente venne dimessa.</w:t>
      </w:r>
    </w:p>
    <w:p w14:paraId="71827EEB"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La paziente rifiutò di tornare a casa e chiese di rimanere in osservazione.</w:t>
      </w:r>
    </w:p>
    <w:p w14:paraId="364BFA5A" w14:textId="77777777" w:rsidR="001A08BD" w:rsidRPr="00882180" w:rsidRDefault="001A08BD" w:rsidP="00882180">
      <w:pPr>
        <w:pStyle w:val="Paragrafoelenco"/>
        <w:spacing w:line="480" w:lineRule="auto"/>
        <w:ind w:left="0"/>
        <w:jc w:val="both"/>
        <w:rPr>
          <w:rFonts w:ascii="Times New Roman" w:hAnsi="Times New Roman"/>
          <w:sz w:val="24"/>
          <w:szCs w:val="24"/>
        </w:rPr>
      </w:pPr>
    </w:p>
    <w:p w14:paraId="1BD027A3"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lastRenderedPageBreak/>
        <w:t>Il 10</w:t>
      </w:r>
      <w:r w:rsidR="00AF17BA" w:rsidRPr="00882180">
        <w:rPr>
          <w:rFonts w:ascii="Times New Roman" w:hAnsi="Times New Roman"/>
          <w:sz w:val="24"/>
          <w:szCs w:val="24"/>
        </w:rPr>
        <w:t xml:space="preserve"> f</w:t>
      </w:r>
      <w:r w:rsidRPr="00882180">
        <w:rPr>
          <w:rFonts w:ascii="Times New Roman" w:hAnsi="Times New Roman"/>
          <w:sz w:val="24"/>
          <w:szCs w:val="24"/>
        </w:rPr>
        <w:t>ebbraio 2013 insorse improvvisa perdita del visus bilateralmente.</w:t>
      </w:r>
    </w:p>
    <w:p w14:paraId="1B8D62FF"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Agli esami di laboratorio eseguiti nei giorni successivi si evidenziò una PCR di 120 mg/L,</w:t>
      </w:r>
      <w:r w:rsidR="00AF17BA" w:rsidRPr="00882180">
        <w:rPr>
          <w:rFonts w:ascii="Times New Roman" w:hAnsi="Times New Roman"/>
          <w:sz w:val="24"/>
          <w:szCs w:val="24"/>
        </w:rPr>
        <w:t xml:space="preserve"> in seguito alla quale</w:t>
      </w:r>
      <w:r w:rsidRPr="00882180">
        <w:rPr>
          <w:rFonts w:ascii="Times New Roman" w:hAnsi="Times New Roman"/>
          <w:sz w:val="24"/>
          <w:szCs w:val="24"/>
        </w:rPr>
        <w:t xml:space="preserve"> venne richiesta una consulenza reumatologica</w:t>
      </w:r>
      <w:r w:rsidR="00AF17BA" w:rsidRPr="00882180">
        <w:rPr>
          <w:rFonts w:ascii="Times New Roman" w:hAnsi="Times New Roman"/>
          <w:sz w:val="24"/>
          <w:szCs w:val="24"/>
        </w:rPr>
        <w:t xml:space="preserve"> </w:t>
      </w:r>
      <w:r w:rsidRPr="00882180">
        <w:rPr>
          <w:rFonts w:ascii="Times New Roman" w:hAnsi="Times New Roman"/>
          <w:sz w:val="24"/>
          <w:szCs w:val="24"/>
        </w:rPr>
        <w:t>e</w:t>
      </w:r>
      <w:r w:rsidR="00AF17BA" w:rsidRPr="00882180">
        <w:rPr>
          <w:rFonts w:ascii="Times New Roman" w:hAnsi="Times New Roman"/>
          <w:sz w:val="24"/>
          <w:szCs w:val="24"/>
        </w:rPr>
        <w:t>d</w:t>
      </w:r>
      <w:r w:rsidRPr="00882180">
        <w:rPr>
          <w:rFonts w:ascii="Times New Roman" w:hAnsi="Times New Roman"/>
          <w:sz w:val="24"/>
          <w:szCs w:val="24"/>
        </w:rPr>
        <w:t xml:space="preserve"> iniziata terapia con GC.</w:t>
      </w:r>
    </w:p>
    <w:p w14:paraId="1A1B8EC1"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La diagnosi di AGC, fu confermata da:</w:t>
      </w:r>
    </w:p>
    <w:p w14:paraId="2E404BD8" w14:textId="77777777" w:rsidR="001A08BD" w:rsidRPr="00882180" w:rsidRDefault="001A08BD" w:rsidP="00882180">
      <w:pPr>
        <w:pStyle w:val="Paragrafoelenco"/>
        <w:numPr>
          <w:ilvl w:val="0"/>
          <w:numId w:val="26"/>
        </w:numPr>
        <w:spacing w:after="160" w:line="480" w:lineRule="auto"/>
        <w:jc w:val="both"/>
        <w:rPr>
          <w:rFonts w:ascii="Times New Roman" w:hAnsi="Times New Roman"/>
          <w:sz w:val="24"/>
          <w:szCs w:val="24"/>
        </w:rPr>
      </w:pPr>
      <w:r w:rsidRPr="00882180">
        <w:rPr>
          <w:rFonts w:ascii="Times New Roman" w:hAnsi="Times New Roman"/>
          <w:sz w:val="24"/>
          <w:szCs w:val="24"/>
        </w:rPr>
        <w:t>PET/TC che evidenziava vasculite dei grossi vasi a livello femoro-popliteo.</w:t>
      </w:r>
    </w:p>
    <w:p w14:paraId="73AA6D1D" w14:textId="77777777" w:rsidR="001A08BD" w:rsidRPr="00882180" w:rsidRDefault="001A08BD" w:rsidP="00882180">
      <w:pPr>
        <w:pStyle w:val="Paragrafoelenco"/>
        <w:numPr>
          <w:ilvl w:val="0"/>
          <w:numId w:val="26"/>
        </w:numPr>
        <w:spacing w:after="160" w:line="480" w:lineRule="auto"/>
        <w:jc w:val="both"/>
        <w:rPr>
          <w:rFonts w:ascii="Times New Roman" w:hAnsi="Times New Roman"/>
          <w:sz w:val="24"/>
          <w:szCs w:val="24"/>
        </w:rPr>
      </w:pPr>
      <w:r w:rsidRPr="00882180">
        <w:rPr>
          <w:rFonts w:ascii="Times New Roman" w:hAnsi="Times New Roman"/>
          <w:sz w:val="24"/>
          <w:szCs w:val="24"/>
        </w:rPr>
        <w:t>Biopsia dell’arteria temporale che individuava lesioni della lamina elastica, con infiltrato infiammatorio ed alcune cellule giganti</w:t>
      </w:r>
    </w:p>
    <w:p w14:paraId="6C28F4F5"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Dalle prime manifestazioni sintomatiche all’effettiva diagnosi trascorsero 9 giorni, periodo dovuto sia all’iniziale minimizzazione dei sintomi da parte dei famigliari e successivamente alle due diagnosi scorrette, che hanno ritardato l’inizio della terapia </w:t>
      </w:r>
      <w:r w:rsidR="005B4A2B" w:rsidRPr="00882180">
        <w:rPr>
          <w:rFonts w:ascii="Times New Roman" w:hAnsi="Times New Roman"/>
          <w:sz w:val="24"/>
          <w:szCs w:val="24"/>
        </w:rPr>
        <w:t>adatta</w:t>
      </w:r>
      <w:r w:rsidRPr="00882180">
        <w:rPr>
          <w:rFonts w:ascii="Times New Roman" w:hAnsi="Times New Roman"/>
          <w:sz w:val="24"/>
          <w:szCs w:val="24"/>
        </w:rPr>
        <w:t>.</w:t>
      </w:r>
    </w:p>
    <w:p w14:paraId="7A4A4BEB"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Come nel panorama inglese anche in Italia, di norma, i MMG sono i primi ad entrare in contatto con il paziente affetto da AGC. Partendo da questo punto ci siamo interrogati riguardo a quali fossero i motivi per eventuali ritardi e/o errori nel riconoscimento della AGC. </w:t>
      </w:r>
    </w:p>
    <w:p w14:paraId="0F4F6C63"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 xml:space="preserve">Questi problemi verosimilmente si possono verificare già all’interno del nucleo famigliare, dove la combinazione fra i sintomi della AGC e l’età in cui si manifestano, aspecifici i primi e di solito avanzata la seconda, fanno sì che spesso questi soggetti non vengano presi sul serio, scambiando i sintomi come semplici lamentele o dolori correlati all’età e ritardando così l’incontro col proprio medico curante. </w:t>
      </w:r>
    </w:p>
    <w:p w14:paraId="74FDC8BC" w14:textId="77777777" w:rsidR="001A08BD" w:rsidRPr="00882180" w:rsidRDefault="001A08BD"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lastRenderedPageBreak/>
        <w:t>I successivi ostacoli invece si localizzano nella pratica medica. Similmente a quanto rilevato nello studio di Helliwell</w:t>
      </w:r>
      <w:r w:rsidR="008F376B" w:rsidRPr="00882180">
        <w:rPr>
          <w:rFonts w:ascii="Times New Roman" w:hAnsi="Times New Roman"/>
          <w:sz w:val="24"/>
          <w:szCs w:val="24"/>
        </w:rPr>
        <w:fldChar w:fldCharType="begin" w:fldLock="1"/>
      </w:r>
      <w:r w:rsidR="00F66ECC" w:rsidRPr="00882180">
        <w:rPr>
          <w:rFonts w:ascii="Times New Roman" w:hAnsi="Times New Roman"/>
          <w:sz w:val="24"/>
          <w:szCs w:val="24"/>
        </w:rPr>
        <w:instrText>ADDIN CSL_CITATION {"citationItems":[{"id":"ITEM-1","itemData":{"DOI":"10.1136/bmjopen-2017-019320","ISSN":"20446055","abstract":"background In the UK, general practitioners (GPs) are usually the first medical contact for patients with suspected giant cell arteritis (GCA). While rare, it is critical not to miss, as delayed treatment can lead to significant complications including permanent visual loss. To date, little is known about the approach and challenges to diagnosis and management of GCA by GPs. Objective To investigate the diagnosis and management of patients with suspected GCA in UK general practice. Design and participants A multimethods approach was taken, comprising a postal survey of 5000 randomly selected UK GPs and semistructured telephone interviews of 24 GPs from across the UK. setting UK general practice. results 1249 questionnaires were returned. 879 responders (70%) indicated that they had diagnosed and managed a patient with GCA. A variety of clinical features were used to identify GCA. 21.9% suggested that they would exclude GCA as a diagnosis if headache was absent and around one-third do not routinely initiate glucocorticoid treatment prior to referral. Significant regional variations in referral pathways were reported. Thematic analysis of interview transcripts highlighted fears relating to a missed diagnosis of GCA and the non-specific nature of early GCA presentation. Accessing specialist care was highlighted as challenging by many GPs and that a national standard fast-track pathway is lacking to support this patient group. Additionally there were significant concerns regarding potential adverse effects relating to long-term treatment with glucocorticoids. Conclusion GPs appear to over-rely on headache to identify GCA and marked geographical differences in management, with conflicting referral pathways and difficulties in accessing appropriate services exist in the UK. A national standard for fast-tracking patients with suspected GCA to relevant specialists would be beneficial to improve care and outcomes for patients with GCA.","author":[{"dropping-particle":"","family":"Helliwell","given":"Toby","non-dropping-particle":"","parse-names":false,"suffix":""},{"dropping-particle":"","family":"Muller","given":"Sara","non-dropping-particle":"","parse-names":false,"suffix":""},{"dropping-particle":"","family":"Hider","given":"Samantha L.","non-dropping-particle":"","parse-names":false,"suffix":""},{"dropping-particle":"","family":"Prior","given":"James A.","non-dropping-particle":"","parse-names":false,"suffix":""},{"dropping-particle":"","family":"Richardson","given":"Jane C.","non-dropping-particle":"","parse-names":false,"suffix":""},{"dropping-particle":"","family":"Mallen","given":"Christian D.","non-dropping-particle":"","parse-names":false,"suffix":""}],"container-title":"BMJ Open","id":"ITEM-1","issue":"2","issued":{"date-parts":[["2018"]]},"page":"1-8","title":"Challenges of diagnosis and management of giant cell arteritis in general practice: A multimethods study","type":"article-journal","volume":"8"},"uris":["http://www.mendeley.com/documents/?uuid=b14cbd1a-f7e6-4d66-b09c-671a0740f540"]}],"mendeley":{"formattedCitation":"&lt;sup&gt;8&lt;/sup&gt;","plainTextFormattedCitation":"8","previouslyFormattedCitation":"&lt;sup&gt;8&lt;/sup&gt;"},"properties":{"noteIndex":0},"schema":"https://github.com/citation-style-language/schema/raw/master/csl-citation.json"}</w:instrText>
      </w:r>
      <w:r w:rsidR="008F376B" w:rsidRPr="00882180">
        <w:rPr>
          <w:rFonts w:ascii="Times New Roman" w:hAnsi="Times New Roman"/>
          <w:sz w:val="24"/>
          <w:szCs w:val="24"/>
        </w:rPr>
        <w:fldChar w:fldCharType="separate"/>
      </w:r>
      <w:r w:rsidR="00C41B3B" w:rsidRPr="00882180">
        <w:rPr>
          <w:rFonts w:ascii="Times New Roman" w:hAnsi="Times New Roman"/>
          <w:noProof/>
          <w:sz w:val="24"/>
          <w:szCs w:val="24"/>
          <w:vertAlign w:val="superscript"/>
        </w:rPr>
        <w:t>8</w:t>
      </w:r>
      <w:r w:rsidR="008F376B" w:rsidRPr="00882180">
        <w:rPr>
          <w:rFonts w:ascii="Times New Roman" w:hAnsi="Times New Roman"/>
          <w:sz w:val="24"/>
          <w:szCs w:val="24"/>
        </w:rPr>
        <w:fldChar w:fldCharType="end"/>
      </w:r>
      <w:r w:rsidRPr="00882180">
        <w:rPr>
          <w:rFonts w:ascii="Times New Roman" w:hAnsi="Times New Roman"/>
          <w:sz w:val="24"/>
          <w:szCs w:val="24"/>
        </w:rPr>
        <w:t xml:space="preserve"> infatti i principali </w:t>
      </w:r>
      <w:r w:rsidR="005B4A2B" w:rsidRPr="00882180">
        <w:rPr>
          <w:rFonts w:ascii="Times New Roman" w:hAnsi="Times New Roman"/>
          <w:sz w:val="24"/>
          <w:szCs w:val="24"/>
        </w:rPr>
        <w:t>problemi possono verificarsi</w:t>
      </w:r>
      <w:r w:rsidRPr="00882180">
        <w:rPr>
          <w:rFonts w:ascii="Times New Roman" w:hAnsi="Times New Roman"/>
          <w:sz w:val="24"/>
          <w:szCs w:val="24"/>
        </w:rPr>
        <w:t xml:space="preserve"> nel riconoscimento della AGC e </w:t>
      </w:r>
      <w:r w:rsidR="005B4A2B" w:rsidRPr="00882180">
        <w:rPr>
          <w:rFonts w:ascii="Times New Roman" w:hAnsi="Times New Roman"/>
          <w:sz w:val="24"/>
          <w:szCs w:val="24"/>
        </w:rPr>
        <w:t>nell’</w:t>
      </w:r>
      <w:r w:rsidRPr="00882180">
        <w:rPr>
          <w:rFonts w:ascii="Times New Roman" w:hAnsi="Times New Roman"/>
          <w:sz w:val="24"/>
          <w:szCs w:val="24"/>
        </w:rPr>
        <w:t xml:space="preserve">inizio </w:t>
      </w:r>
      <w:r w:rsidR="005B4A2B" w:rsidRPr="00882180">
        <w:rPr>
          <w:rFonts w:ascii="Times New Roman" w:hAnsi="Times New Roman"/>
          <w:sz w:val="24"/>
          <w:szCs w:val="24"/>
        </w:rPr>
        <w:t xml:space="preserve">tempestivo </w:t>
      </w:r>
      <w:r w:rsidRPr="00882180">
        <w:rPr>
          <w:rFonts w:ascii="Times New Roman" w:hAnsi="Times New Roman"/>
          <w:sz w:val="24"/>
          <w:szCs w:val="24"/>
        </w:rPr>
        <w:t xml:space="preserve">della terapia nell’ambito della medicina generale e secondariamente nella difficoltà ad ottenere un rapido accesso ad una visita presso uno specialista in reumatologia. </w:t>
      </w:r>
    </w:p>
    <w:p w14:paraId="470ACC08" w14:textId="77777777" w:rsidR="001A08BD" w:rsidRPr="00882180" w:rsidRDefault="00227063" w:rsidP="00882180">
      <w:pPr>
        <w:pStyle w:val="Paragrafoelenco"/>
        <w:spacing w:line="480" w:lineRule="auto"/>
        <w:ind w:left="0"/>
        <w:jc w:val="both"/>
        <w:rPr>
          <w:rFonts w:ascii="Times New Roman" w:hAnsi="Times New Roman"/>
          <w:sz w:val="24"/>
          <w:szCs w:val="24"/>
        </w:rPr>
      </w:pPr>
      <w:r w:rsidRPr="00882180">
        <w:rPr>
          <w:rFonts w:ascii="Times New Roman" w:hAnsi="Times New Roman"/>
          <w:sz w:val="24"/>
          <w:szCs w:val="24"/>
        </w:rPr>
        <w:t>N</w:t>
      </w:r>
      <w:r w:rsidR="001A08BD" w:rsidRPr="00882180">
        <w:rPr>
          <w:rFonts w:ascii="Times New Roman" w:hAnsi="Times New Roman"/>
          <w:sz w:val="24"/>
          <w:szCs w:val="24"/>
        </w:rPr>
        <w:t>el nostro lavoro ci siamo concentrati sull’indagare il grado di conoscenze e frequenza di presentazione della patologia nella pratica dei MMG, concentrandoci in particolare su un gruppo appartenente all’Asl 3 genovese.</w:t>
      </w:r>
    </w:p>
    <w:p w14:paraId="044232F1" w14:textId="77777777" w:rsidR="001A08BD" w:rsidRPr="00882180" w:rsidRDefault="001A08BD" w:rsidP="00882180">
      <w:pPr>
        <w:pStyle w:val="Paragrafoelenco"/>
        <w:spacing w:line="480" w:lineRule="auto"/>
        <w:ind w:left="0"/>
        <w:jc w:val="both"/>
        <w:rPr>
          <w:rFonts w:ascii="Times New Roman" w:hAnsi="Times New Roman"/>
          <w:sz w:val="24"/>
          <w:szCs w:val="24"/>
        </w:rPr>
      </w:pPr>
    </w:p>
    <w:p w14:paraId="7AA8E778" w14:textId="77777777" w:rsidR="001A08BD" w:rsidRPr="00882180" w:rsidRDefault="001A08BD" w:rsidP="00882180">
      <w:pPr>
        <w:pStyle w:val="Paragrafoelenco"/>
        <w:spacing w:line="480" w:lineRule="auto"/>
        <w:ind w:left="0"/>
        <w:jc w:val="both"/>
        <w:rPr>
          <w:rFonts w:ascii="Times New Roman" w:hAnsi="Times New Roman"/>
          <w:sz w:val="24"/>
          <w:szCs w:val="24"/>
        </w:rPr>
      </w:pPr>
    </w:p>
    <w:p w14:paraId="3CC4CEF8" w14:textId="77777777" w:rsidR="00556454" w:rsidRPr="00882180" w:rsidRDefault="00556454" w:rsidP="00882180">
      <w:pPr>
        <w:pStyle w:val="Paragrafoelenco"/>
        <w:spacing w:line="480" w:lineRule="auto"/>
        <w:ind w:left="0"/>
        <w:jc w:val="both"/>
        <w:rPr>
          <w:rFonts w:ascii="Times New Roman" w:hAnsi="Times New Roman"/>
          <w:sz w:val="24"/>
          <w:szCs w:val="24"/>
        </w:rPr>
      </w:pPr>
    </w:p>
    <w:p w14:paraId="6544DAFB" w14:textId="0BCEFD32" w:rsidR="00331F11" w:rsidRDefault="00331F11" w:rsidP="00882180">
      <w:pPr>
        <w:pStyle w:val="Paragrafoelenco"/>
        <w:spacing w:line="480" w:lineRule="auto"/>
        <w:ind w:left="0"/>
        <w:jc w:val="both"/>
        <w:rPr>
          <w:rFonts w:ascii="Times New Roman" w:hAnsi="Times New Roman"/>
          <w:sz w:val="24"/>
          <w:szCs w:val="24"/>
        </w:rPr>
      </w:pPr>
    </w:p>
    <w:p w14:paraId="1ED42CA0" w14:textId="4CC0B836" w:rsidR="0028528D" w:rsidRDefault="0028528D" w:rsidP="00882180">
      <w:pPr>
        <w:pStyle w:val="Paragrafoelenco"/>
        <w:spacing w:line="480" w:lineRule="auto"/>
        <w:ind w:left="0"/>
        <w:jc w:val="both"/>
        <w:rPr>
          <w:rFonts w:ascii="Times New Roman" w:hAnsi="Times New Roman"/>
          <w:sz w:val="24"/>
          <w:szCs w:val="24"/>
        </w:rPr>
      </w:pPr>
    </w:p>
    <w:p w14:paraId="1867D167" w14:textId="4A9FC861" w:rsidR="0028528D" w:rsidRDefault="0028528D" w:rsidP="00882180">
      <w:pPr>
        <w:pStyle w:val="Paragrafoelenco"/>
        <w:spacing w:line="480" w:lineRule="auto"/>
        <w:ind w:left="0"/>
        <w:jc w:val="both"/>
        <w:rPr>
          <w:rFonts w:ascii="Times New Roman" w:hAnsi="Times New Roman"/>
          <w:sz w:val="24"/>
          <w:szCs w:val="24"/>
        </w:rPr>
      </w:pPr>
    </w:p>
    <w:p w14:paraId="6ED70754" w14:textId="6D9C68DA" w:rsidR="0028528D" w:rsidRDefault="0028528D" w:rsidP="00882180">
      <w:pPr>
        <w:pStyle w:val="Paragrafoelenco"/>
        <w:spacing w:line="480" w:lineRule="auto"/>
        <w:ind w:left="0"/>
        <w:jc w:val="both"/>
        <w:rPr>
          <w:rFonts w:ascii="Times New Roman" w:hAnsi="Times New Roman"/>
          <w:sz w:val="24"/>
          <w:szCs w:val="24"/>
        </w:rPr>
      </w:pPr>
    </w:p>
    <w:p w14:paraId="246F5594" w14:textId="5135E5C8" w:rsidR="0028528D" w:rsidRDefault="0028528D" w:rsidP="00882180">
      <w:pPr>
        <w:pStyle w:val="Paragrafoelenco"/>
        <w:spacing w:line="480" w:lineRule="auto"/>
        <w:ind w:left="0"/>
        <w:jc w:val="both"/>
        <w:rPr>
          <w:rFonts w:ascii="Times New Roman" w:hAnsi="Times New Roman"/>
          <w:sz w:val="24"/>
          <w:szCs w:val="24"/>
        </w:rPr>
      </w:pPr>
    </w:p>
    <w:p w14:paraId="1BBD0A51" w14:textId="0D670789" w:rsidR="0028528D" w:rsidRDefault="0028528D" w:rsidP="00882180">
      <w:pPr>
        <w:pStyle w:val="Paragrafoelenco"/>
        <w:spacing w:line="480" w:lineRule="auto"/>
        <w:ind w:left="0"/>
        <w:jc w:val="both"/>
        <w:rPr>
          <w:rFonts w:ascii="Times New Roman" w:hAnsi="Times New Roman"/>
          <w:sz w:val="24"/>
          <w:szCs w:val="24"/>
        </w:rPr>
      </w:pPr>
    </w:p>
    <w:p w14:paraId="4498D109" w14:textId="3CE47008" w:rsidR="0028528D" w:rsidRDefault="0028528D" w:rsidP="00882180">
      <w:pPr>
        <w:pStyle w:val="Paragrafoelenco"/>
        <w:spacing w:line="480" w:lineRule="auto"/>
        <w:ind w:left="0"/>
        <w:jc w:val="both"/>
        <w:rPr>
          <w:rFonts w:ascii="Times New Roman" w:hAnsi="Times New Roman"/>
          <w:sz w:val="24"/>
          <w:szCs w:val="24"/>
        </w:rPr>
      </w:pPr>
    </w:p>
    <w:p w14:paraId="22AAA645" w14:textId="0EF72681" w:rsidR="0028528D" w:rsidRDefault="0028528D" w:rsidP="00882180">
      <w:pPr>
        <w:pStyle w:val="Paragrafoelenco"/>
        <w:spacing w:line="480" w:lineRule="auto"/>
        <w:ind w:left="0"/>
        <w:jc w:val="both"/>
        <w:rPr>
          <w:rFonts w:ascii="Times New Roman" w:hAnsi="Times New Roman"/>
          <w:sz w:val="24"/>
          <w:szCs w:val="24"/>
        </w:rPr>
      </w:pPr>
    </w:p>
    <w:p w14:paraId="3A8CDCEF" w14:textId="6251F524" w:rsidR="0028528D" w:rsidRDefault="0028528D" w:rsidP="00882180">
      <w:pPr>
        <w:pStyle w:val="Paragrafoelenco"/>
        <w:spacing w:line="480" w:lineRule="auto"/>
        <w:ind w:left="0"/>
        <w:jc w:val="both"/>
        <w:rPr>
          <w:rFonts w:ascii="Times New Roman" w:hAnsi="Times New Roman"/>
          <w:sz w:val="24"/>
          <w:szCs w:val="24"/>
        </w:rPr>
      </w:pPr>
    </w:p>
    <w:p w14:paraId="7D365532" w14:textId="058BCC85" w:rsidR="0028528D" w:rsidRDefault="0028528D" w:rsidP="00882180">
      <w:pPr>
        <w:pStyle w:val="Paragrafoelenco"/>
        <w:spacing w:line="480" w:lineRule="auto"/>
        <w:ind w:left="0"/>
        <w:jc w:val="both"/>
        <w:rPr>
          <w:rFonts w:ascii="Times New Roman" w:hAnsi="Times New Roman"/>
          <w:sz w:val="24"/>
          <w:szCs w:val="24"/>
        </w:rPr>
      </w:pPr>
    </w:p>
    <w:p w14:paraId="5F31CB21" w14:textId="4BCD4CA8" w:rsidR="0028528D" w:rsidRDefault="0028528D" w:rsidP="00882180">
      <w:pPr>
        <w:pStyle w:val="Paragrafoelenco"/>
        <w:spacing w:line="480" w:lineRule="auto"/>
        <w:ind w:left="0"/>
        <w:jc w:val="both"/>
        <w:rPr>
          <w:rFonts w:ascii="Times New Roman" w:hAnsi="Times New Roman"/>
          <w:sz w:val="24"/>
          <w:szCs w:val="24"/>
        </w:rPr>
      </w:pPr>
    </w:p>
    <w:p w14:paraId="1E02AE1D" w14:textId="1BFCA060" w:rsidR="0028528D" w:rsidRDefault="0028528D" w:rsidP="00882180">
      <w:pPr>
        <w:pStyle w:val="Paragrafoelenco"/>
        <w:spacing w:line="480" w:lineRule="auto"/>
        <w:ind w:left="0"/>
        <w:jc w:val="both"/>
        <w:rPr>
          <w:rFonts w:ascii="Times New Roman" w:hAnsi="Times New Roman"/>
          <w:sz w:val="24"/>
          <w:szCs w:val="24"/>
        </w:rPr>
      </w:pPr>
    </w:p>
    <w:p w14:paraId="45A1311B" w14:textId="77777777" w:rsidR="0028528D" w:rsidRPr="00882180" w:rsidRDefault="0028528D" w:rsidP="00882180">
      <w:pPr>
        <w:pStyle w:val="Paragrafoelenco"/>
        <w:spacing w:line="480" w:lineRule="auto"/>
        <w:ind w:left="0"/>
        <w:jc w:val="both"/>
        <w:rPr>
          <w:rFonts w:ascii="Times New Roman" w:hAnsi="Times New Roman"/>
          <w:sz w:val="24"/>
          <w:szCs w:val="24"/>
        </w:rPr>
      </w:pPr>
    </w:p>
    <w:p w14:paraId="1D91B5B0" w14:textId="77777777" w:rsidR="00E641FD" w:rsidRPr="00D970C3" w:rsidRDefault="001A08BD" w:rsidP="00882180">
      <w:pPr>
        <w:pStyle w:val="Paragrafoelenco"/>
        <w:numPr>
          <w:ilvl w:val="0"/>
          <w:numId w:val="5"/>
        </w:numPr>
        <w:spacing w:after="160" w:line="480" w:lineRule="auto"/>
        <w:outlineLvl w:val="0"/>
        <w:rPr>
          <w:rFonts w:ascii="Times New Roman" w:hAnsi="Times New Roman"/>
          <w:b/>
          <w:sz w:val="28"/>
          <w:szCs w:val="28"/>
        </w:rPr>
      </w:pPr>
      <w:bookmarkStart w:id="4" w:name="_Toc12908068"/>
      <w:r w:rsidRPr="00D970C3">
        <w:rPr>
          <w:rFonts w:ascii="Times New Roman" w:hAnsi="Times New Roman"/>
          <w:b/>
          <w:sz w:val="28"/>
          <w:szCs w:val="28"/>
        </w:rPr>
        <w:lastRenderedPageBreak/>
        <w:t>ARTERITE GIGANTOCELLULARE O ARTERITE DI HORTON</w:t>
      </w:r>
      <w:r w:rsidR="007508F5" w:rsidRPr="00D970C3">
        <w:rPr>
          <w:rFonts w:ascii="Times New Roman" w:hAnsi="Times New Roman"/>
          <w:b/>
          <w:sz w:val="28"/>
          <w:szCs w:val="28"/>
        </w:rPr>
        <w:t xml:space="preserve"> </w:t>
      </w:r>
      <w:bookmarkStart w:id="5" w:name="_Toc12908069"/>
      <w:bookmarkEnd w:id="4"/>
    </w:p>
    <w:p w14:paraId="79F3E6FE" w14:textId="77777777" w:rsidR="001A08BD" w:rsidRPr="00D970C3" w:rsidRDefault="001A08BD" w:rsidP="00882180">
      <w:pPr>
        <w:pStyle w:val="Titolo2"/>
        <w:spacing w:line="480" w:lineRule="auto"/>
        <w:rPr>
          <w:rFonts w:ascii="Times New Roman" w:hAnsi="Times New Roman" w:cs="Times New Roman"/>
          <w:b w:val="0"/>
          <w:sz w:val="28"/>
          <w:szCs w:val="28"/>
        </w:rPr>
      </w:pPr>
      <w:r w:rsidRPr="00D970C3">
        <w:rPr>
          <w:rFonts w:ascii="Times New Roman" w:hAnsi="Times New Roman" w:cs="Times New Roman"/>
          <w:color w:val="auto"/>
          <w:sz w:val="28"/>
          <w:szCs w:val="28"/>
        </w:rPr>
        <w:t>2.1</w:t>
      </w:r>
      <w:r w:rsidRPr="00D970C3">
        <w:rPr>
          <w:rFonts w:ascii="Times New Roman" w:hAnsi="Times New Roman" w:cs="Times New Roman"/>
          <w:sz w:val="28"/>
          <w:szCs w:val="28"/>
        </w:rPr>
        <w:t xml:space="preserve"> </w:t>
      </w:r>
      <w:r w:rsidRPr="00D970C3">
        <w:rPr>
          <w:rFonts w:ascii="Times New Roman" w:hAnsi="Times New Roman" w:cs="Times New Roman"/>
          <w:color w:val="auto"/>
          <w:sz w:val="28"/>
          <w:szCs w:val="28"/>
        </w:rPr>
        <w:t>Manifestazioni cliniche</w:t>
      </w:r>
      <w:bookmarkEnd w:id="5"/>
    </w:p>
    <w:p w14:paraId="1CF1981C"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w:t>
      </w:r>
      <w:r w:rsidR="004811BC" w:rsidRPr="00882180">
        <w:rPr>
          <w:rFonts w:ascii="Times New Roman" w:hAnsi="Times New Roman" w:cs="Times New Roman"/>
          <w:sz w:val="24"/>
          <w:szCs w:val="24"/>
        </w:rPr>
        <w:t>AGC</w:t>
      </w:r>
      <w:r w:rsidRPr="00882180">
        <w:rPr>
          <w:rFonts w:ascii="Times New Roman" w:hAnsi="Times New Roman" w:cs="Times New Roman"/>
          <w:sz w:val="24"/>
          <w:szCs w:val="24"/>
        </w:rPr>
        <w:t xml:space="preserve"> è una vasculite sistemica primaria che interessa arterie di medio e grosso calibro, in particolare vasi cranici, aorta toracica, arterie succlavie ed ascellari</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7B652B22"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È la più frequente arterite in soggetti anziani, colp</w:t>
      </w:r>
      <w:r w:rsidR="004811BC" w:rsidRPr="00882180">
        <w:rPr>
          <w:rFonts w:ascii="Times New Roman" w:hAnsi="Times New Roman" w:cs="Times New Roman"/>
          <w:sz w:val="24"/>
          <w:szCs w:val="24"/>
        </w:rPr>
        <w:t>endo</w:t>
      </w:r>
      <w:r w:rsidRPr="00882180">
        <w:rPr>
          <w:rFonts w:ascii="Times New Roman" w:hAnsi="Times New Roman" w:cs="Times New Roman"/>
          <w:sz w:val="24"/>
          <w:szCs w:val="24"/>
        </w:rPr>
        <w:t xml:space="preserve"> infatti soggetti di età superiore ai 50 anni</w:t>
      </w:r>
      <w:r w:rsidR="004811BC" w:rsidRPr="00882180">
        <w:rPr>
          <w:rFonts w:ascii="Times New Roman" w:hAnsi="Times New Roman" w:cs="Times New Roman"/>
          <w:sz w:val="24"/>
          <w:szCs w:val="24"/>
        </w:rPr>
        <w:t>, con</w:t>
      </w:r>
      <w:r w:rsidRPr="00882180">
        <w:rPr>
          <w:rFonts w:ascii="Times New Roman" w:hAnsi="Times New Roman" w:cs="Times New Roman"/>
          <w:sz w:val="24"/>
          <w:szCs w:val="24"/>
        </w:rPr>
        <w:t xml:space="preserve"> </w:t>
      </w:r>
      <w:r w:rsidR="004811BC" w:rsidRPr="00882180">
        <w:rPr>
          <w:rFonts w:ascii="Times New Roman" w:hAnsi="Times New Roman" w:cs="Times New Roman"/>
          <w:sz w:val="24"/>
          <w:szCs w:val="24"/>
        </w:rPr>
        <w:t>una</w:t>
      </w:r>
      <w:r w:rsidRPr="00882180">
        <w:rPr>
          <w:rFonts w:ascii="Times New Roman" w:hAnsi="Times New Roman" w:cs="Times New Roman"/>
          <w:sz w:val="24"/>
          <w:szCs w:val="24"/>
        </w:rPr>
        <w:t xml:space="preserve"> incidenza </w:t>
      </w:r>
      <w:r w:rsidR="004811BC" w:rsidRPr="00882180">
        <w:rPr>
          <w:rFonts w:ascii="Times New Roman" w:hAnsi="Times New Roman" w:cs="Times New Roman"/>
          <w:sz w:val="24"/>
          <w:szCs w:val="24"/>
        </w:rPr>
        <w:t xml:space="preserve">che </w:t>
      </w:r>
      <w:r w:rsidRPr="00882180">
        <w:rPr>
          <w:rFonts w:ascii="Times New Roman" w:hAnsi="Times New Roman" w:cs="Times New Roman"/>
          <w:sz w:val="24"/>
          <w:szCs w:val="24"/>
        </w:rPr>
        <w:t>aumenta con l’avanzare dell’età</w:t>
      </w:r>
      <w:r w:rsidR="004811BC" w:rsidRPr="00882180">
        <w:rPr>
          <w:rFonts w:ascii="Times New Roman" w:hAnsi="Times New Roman" w:cs="Times New Roman"/>
          <w:sz w:val="24"/>
          <w:szCs w:val="24"/>
        </w:rPr>
        <w:t>. In</w:t>
      </w:r>
      <w:r w:rsidRPr="00882180">
        <w:rPr>
          <w:rFonts w:ascii="Times New Roman" w:hAnsi="Times New Roman" w:cs="Times New Roman"/>
          <w:sz w:val="24"/>
          <w:szCs w:val="24"/>
        </w:rPr>
        <w:t xml:space="preserve"> una popolazione di 100.000</w:t>
      </w:r>
      <w:r w:rsidR="004811BC" w:rsidRPr="00882180">
        <w:rPr>
          <w:rFonts w:ascii="Times New Roman" w:hAnsi="Times New Roman" w:cs="Times New Roman"/>
          <w:sz w:val="24"/>
          <w:szCs w:val="24"/>
        </w:rPr>
        <w:t xml:space="preserve"> abitanti,</w:t>
      </w:r>
      <w:r w:rsidRPr="00882180">
        <w:rPr>
          <w:rFonts w:ascii="Times New Roman" w:hAnsi="Times New Roman" w:cs="Times New Roman"/>
          <w:sz w:val="24"/>
          <w:szCs w:val="24"/>
        </w:rPr>
        <w:t xml:space="preserve"> il tasso specifico correlato all’età aumenta da 2, nel gruppo di soggetti di età compresa fra 50-59 anni, a 52 se consideriamo la popolazione di 80 anni o </w:t>
      </w:r>
      <w:r w:rsidR="004811BC" w:rsidRPr="00882180">
        <w:rPr>
          <w:rFonts w:ascii="Times New Roman" w:hAnsi="Times New Roman" w:cs="Times New Roman"/>
          <w:sz w:val="24"/>
          <w:szCs w:val="24"/>
        </w:rPr>
        <w:t>più</w:t>
      </w:r>
      <w:r w:rsidRPr="00882180">
        <w:rPr>
          <w:rFonts w:ascii="Times New Roman" w:hAnsi="Times New Roman" w:cs="Times New Roman"/>
          <w:sz w:val="24"/>
          <w:szCs w:val="24"/>
        </w:rPr>
        <w:t xml:space="preserve">. Le donne sono colpite 2-3 volte più frequentemente degli uomini. Risulta inoltre più comune fra soggetti Nord Europei che Mediterranei e rara fra le popolazioni Africane, Americane, Native Americane ed Asiatiche. La prevalenza di questa patologia si attesta su 1:750 nella popolazione con età superiore ai 50 anni </w:t>
      </w:r>
      <w:r w:rsidR="0032103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32103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9</w:t>
      </w:r>
      <w:r w:rsidR="00321032"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p>
    <w:p w14:paraId="7334A3B2"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Rari casi possono essere riscontrati anche in soggetti di età &lt;40 anni, entrando in diagnosi differenziale con l’arterite temporale giovanile (JTA) o con localizzazioni temporali di vasculiti sistemiche. La patologia presenta un quadro clinico ed istologico simile alle forme tipiche della popolazione anziana, ma la cecità non è stata ad oggi riscontrata come complicanza</w:t>
      </w:r>
      <w:r w:rsidR="0032103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{"citationItems":[{"id":"ITEM-1","itemData":{"ISSN":"1593-098X","abstract":"Temporal arteritis in the young is clinically and histologically different from classic giant cell arteritis of the elderly population. A male patient, aged 36 years, presented with headache and a nodule in his left temporal region. Histological examination of the nodule showed that the left temporal artery was encircled by a lymphoid tissue with prominent germinal centres. The arterial wall was infiltrated with mixed inflammatory cells, the internal elastic lamina was disrupted, and there was marked intimal hyperplasia. The patient was diagnosed with juvenile temporal arteritis. Because of persistent headache after surgical excision of the lesion, the patient was treated with prednisolone. Systemic vasculitides, classic giant cell arteritis, Kimura's disease, and angiolymphoid hyperplasia with eosinophilia should be considered in the differential diagnosis of the disease. © Clinical and Experimental rheumatology 2014.","author":[{"dropping-particle":"","family":"T.","given":"Akalin","non-dropping-particle":"","parse-names":false,"suffix":""},{"dropping-particle":"","family":"F.C.","given":"Kaya","non-dropping-particle":"","parse-names":false,"suffix":""},{"dropping-particle":"","family":"Y.","given":"Tekin","non-dropping-particle":"","parse-names":false,"suffix":""}],"container-title":"Clinical and Experimental Rheumatology","id":"ITEM-1","issue":"SUPPL.82","issued":{"date-parts":[["2014"]]},"page":"S59-S61","title":"Temporal arteritis in a young patient","type":"article-journal","volume":"32"},"uris":["http://www.mendeley.com/documents/?uuid=055e1f7f-f791-4435-b40b-ae50bd27a27a"]}],"mendeley":{"formattedCitation":"&lt;sup&gt;10&lt;/sup&gt;","plainTextFormattedCitation":"10","previouslyFormattedCitation":"&lt;sup&gt;10&lt;/sup&gt;"},"properties":{"noteIndex":0},"schema":"https://github.com/citation-style-language/schema/raw/master/csl-citation.json"}</w:instrText>
      </w:r>
      <w:r w:rsidR="0032103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10</w:t>
      </w:r>
      <w:r w:rsidR="00321032"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p>
    <w:p w14:paraId="4578D6AE"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Ogniqualvolta si sospetti una infiammazione dei grossi vasi, dopo averla confermata tramite l’imaging</w:t>
      </w:r>
      <w:r w:rsidR="004811BC" w:rsidRPr="00882180">
        <w:rPr>
          <w:rFonts w:ascii="Times New Roman" w:hAnsi="Times New Roman" w:cs="Times New Roman"/>
          <w:sz w:val="24"/>
          <w:szCs w:val="24"/>
        </w:rPr>
        <w:t xml:space="preserve"> o la biopsia</w:t>
      </w:r>
      <w:r w:rsidRPr="00882180">
        <w:rPr>
          <w:rFonts w:ascii="Times New Roman" w:hAnsi="Times New Roman" w:cs="Times New Roman"/>
          <w:sz w:val="24"/>
          <w:szCs w:val="24"/>
        </w:rPr>
        <w:t xml:space="preserve">, la diagnosi differenziale deve includere </w:t>
      </w:r>
      <w:r w:rsidRPr="00882180">
        <w:rPr>
          <w:rFonts w:ascii="Times New Roman" w:hAnsi="Times New Roman" w:cs="Times New Roman"/>
          <w:sz w:val="24"/>
          <w:szCs w:val="24"/>
        </w:rPr>
        <w:lastRenderedPageBreak/>
        <w:t>oltre alla AGC anche altre vasculiti, sia primarie che secondarie, in particolare qualora manchino i sintomi a livello cranico.</w:t>
      </w:r>
    </w:p>
    <w:p w14:paraId="47D0A428"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Per quanto riguarda le vasculiti primarie, la diagnosi differenziale è principalmente fra AGC ed arterite di Takayasu. A parte la diversa età di insorgenza, le due patologie clinicamente si distinguono in base a una differenza &gt;10mmHg nella pressione sistolica e claudicatio di un arto superiore od inferiore, sintomi più tipici dell’arterite di Takayasu, mentre la mialgia </w:t>
      </w:r>
      <w:r w:rsidR="004811BC" w:rsidRPr="00882180">
        <w:rPr>
          <w:rFonts w:ascii="Times New Roman" w:hAnsi="Times New Roman" w:cs="Times New Roman"/>
          <w:sz w:val="24"/>
          <w:szCs w:val="24"/>
        </w:rPr>
        <w:t xml:space="preserve">dei cingoli </w:t>
      </w:r>
      <w:r w:rsidRPr="00882180">
        <w:rPr>
          <w:rFonts w:ascii="Times New Roman" w:hAnsi="Times New Roman" w:cs="Times New Roman"/>
          <w:sz w:val="24"/>
          <w:szCs w:val="24"/>
        </w:rPr>
        <w:t xml:space="preserve">è più indicativa di AGC. Dal punto di vista delle indagini strumentali le due patologie sono molto simili. Agli esami di imaging le caratteristiche sono simili in entrambe le condizioni, </w:t>
      </w:r>
      <w:r w:rsidR="004811BC" w:rsidRPr="00882180">
        <w:rPr>
          <w:rFonts w:ascii="Times New Roman" w:hAnsi="Times New Roman" w:cs="Times New Roman"/>
          <w:sz w:val="24"/>
          <w:szCs w:val="24"/>
        </w:rPr>
        <w:t>all’</w:t>
      </w:r>
      <w:r w:rsidRPr="00882180">
        <w:rPr>
          <w:rFonts w:ascii="Times New Roman" w:hAnsi="Times New Roman" w:cs="Times New Roman"/>
          <w:sz w:val="24"/>
          <w:szCs w:val="24"/>
        </w:rPr>
        <w:t>esam</w:t>
      </w:r>
      <w:r w:rsidR="004811BC" w:rsidRPr="00882180">
        <w:rPr>
          <w:rFonts w:ascii="Times New Roman" w:hAnsi="Times New Roman" w:cs="Times New Roman"/>
          <w:sz w:val="24"/>
          <w:szCs w:val="24"/>
        </w:rPr>
        <w:t>e</w:t>
      </w:r>
      <w:r w:rsidRPr="00882180">
        <w:rPr>
          <w:rFonts w:ascii="Times New Roman" w:hAnsi="Times New Roman" w:cs="Times New Roman"/>
          <w:sz w:val="24"/>
          <w:szCs w:val="24"/>
        </w:rPr>
        <w:t xml:space="preserve"> istopatologic</w:t>
      </w:r>
      <w:r w:rsidR="004811BC" w:rsidRPr="00882180">
        <w:rPr>
          <w:rFonts w:ascii="Times New Roman" w:hAnsi="Times New Roman" w:cs="Times New Roman"/>
          <w:sz w:val="24"/>
          <w:szCs w:val="24"/>
        </w:rPr>
        <w:t>o</w:t>
      </w:r>
      <w:r w:rsidRPr="00882180">
        <w:rPr>
          <w:rFonts w:ascii="Times New Roman" w:hAnsi="Times New Roman" w:cs="Times New Roman"/>
          <w:sz w:val="24"/>
          <w:szCs w:val="24"/>
        </w:rPr>
        <w:t xml:space="preserve"> sono presenti cellule giganti</w:t>
      </w:r>
      <w:r w:rsidR="004811BC" w:rsidRPr="00882180">
        <w:rPr>
          <w:rFonts w:ascii="Times New Roman" w:hAnsi="Times New Roman" w:cs="Times New Roman"/>
          <w:sz w:val="24"/>
          <w:szCs w:val="24"/>
        </w:rPr>
        <w:t xml:space="preserve"> nelle biopsie di entrambe le condizioni</w:t>
      </w:r>
      <w:r w:rsidRPr="00882180">
        <w:rPr>
          <w:rFonts w:ascii="Times New Roman" w:hAnsi="Times New Roman" w:cs="Times New Roman"/>
          <w:sz w:val="24"/>
          <w:szCs w:val="24"/>
        </w:rPr>
        <w:t>.</w:t>
      </w:r>
    </w:p>
    <w:p w14:paraId="2A366F4B"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Le vasculiti secondarie invece sono meno comuni e possono essere causate da infezioni, come HIV, sifilide, tubercolosi o epatiti, o verificarsi in corso di malattie infiammatorie sistemiche, come artrite reumatoide (AR), malattia di Bechet, sindrome di Cogan, policondrite recidivante, lupus eritematoso sistemico (LES), sarcoidosi od aortite IgG4-correlata</w:t>
      </w:r>
      <w:r w:rsidR="0032103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{"citationItems":[{"id":"ITEM-1","itemData":{"ISSN":"03002977","abstract":"A systematic literature search was performed to summarise current knowledge on extracranial giant cell arteritis (GCA), i.e. large-artery involvement in patients with or without clinically apparent temporal arteritis (cranial GCA). Extracranial GCA is increasingly recognised, both in patients with cranial GCA and with solitary extracranial GCA, due to increased awareness among physicians and development of modern imaging modalities. The literature on the pathogenesis and histopathology of extracranial GCA is scarce. It is considered to be similar to cranial GCA. Patients with solitary extracranial GCA often present with non-specific signs and symptoms, although vascular manifestations, mostly secondary to stenosis, may occur. Due to the non-specific clinical presentation and low sensitivity of temporal artery biopsies, extracranial GCA is usually diagnosed by imaging. 18F-FDG-PET, MRI, CT angiography and ultrasound are used for this purpose. At present, the optimal diagnostic strategy is undetermined. The choice for a particular modality can be guided by the clinical scenario that raises suspicion of extracranial GCA, in addition to local availability and expertise. Extracranial complications in GCA consist of aortic aneurysm or dissection (mainly the ascending aorta), aortic arch syndrome, arm claudication and posterior stroke (although this is technically a cranial complication, it often results from stenosis of the vertebrobasilar arteries). Mortality is generally not increased in patients with GCA. Treatment of patients with solitary extracranial and those with extracranial and cranial GCA has been debated in the recent literature. In general, the same strategy is applied as in patients with temporal arteritis, although criteria regarding who to treat are unclear. Surgical procedures may be indicated, in which case optimal medical treatment prior to surgery is important.","author":[{"dropping-particle":"","family":"Lensen","given":"K. D.F.","non-dropping-particle":"","parse-names":false,"suffix":""},{"dropping-particle":"","family":"Voskuyl","given":"A. E.","non-dropping-particle":"","parse-names":false,"suffix":""},{"dropping-particle":"","family":"Comans","given":"E. F.I.","non-dropping-particle":"","parse-names":false,"suffix":""},{"dropping-particle":"","family":"Laken","given":"C. J.","non-dropping-particle":"van der","parse-names":false,"suffix":""},{"dropping-particle":"","family":"Smulders","given":"Y. M.","non-dropping-particle":"","parse-names":false,"suffix":""}],"container-title":"Netherlands Journal of Medicine","id":"ITEM-1","issue":"5","issued":{"date-parts":[["2016"]]},"page":"182-192","title":"Extracranial giant cell arteritis: A narrative review","type":"article-journal","volume":"74"},"uris":["http://www.mendeley.com/documents/?uuid=e0f6e6de-296c-4c57-81b1-02a05decd7ea"]}],"mendeley":{"formattedCitation":"&lt;sup&gt;2&lt;/sup&gt;","plainTextFormattedCitation":"2","previouslyFormattedCitation":"&lt;sup&gt;2&lt;/sup&gt;"},"properties":{"noteIndex":0},"schema":"https://github.com/citation-style-language/schema/raw/master/csl-citation.json"}</w:instrText>
      </w:r>
      <w:r w:rsidR="0032103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2</w:t>
      </w:r>
      <w:r w:rsidR="00321032"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p>
    <w:p w14:paraId="05586525"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L’esordio può essere acuto o subdolo e si associa, in circa la metà dei casi, a polimialgia reumatica (PMR), potendo sia precedere che seguire le sue manifestazioni </w:t>
      </w:r>
      <w:r w:rsidR="0032103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32103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11</w:t>
      </w:r>
      <w:r w:rsidR="0032103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2B2CE833"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La patologia determina aumentata mortalità e può causare importanti complicanze, soprattutto cecità, aneurisma aortico ed eventi ischemici.</w:t>
      </w:r>
    </w:p>
    <w:p w14:paraId="602D0D2D" w14:textId="77777777" w:rsidR="00BA41CF" w:rsidRDefault="00BA41CF">
      <w:pPr>
        <w:rPr>
          <w:rFonts w:ascii="Times New Roman" w:hAnsi="Times New Roman" w:cs="Times New Roman"/>
          <w:sz w:val="24"/>
          <w:szCs w:val="24"/>
        </w:rPr>
      </w:pPr>
      <w:r>
        <w:rPr>
          <w:rFonts w:ascii="Times New Roman" w:hAnsi="Times New Roman" w:cs="Times New Roman"/>
          <w:sz w:val="24"/>
          <w:szCs w:val="24"/>
        </w:rPr>
        <w:br w:type="page"/>
      </w:r>
    </w:p>
    <w:p w14:paraId="74D4C95C" w14:textId="60A6202B"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lastRenderedPageBreak/>
        <w:t>Si possono riconoscere 4 varianti della patologia</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32103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32103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9</w:t>
      </w:r>
      <w:r w:rsidR="0032103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223DD0A6" w14:textId="77777777" w:rsidR="001A08BD" w:rsidRPr="00882180" w:rsidRDefault="001A08BD" w:rsidP="00882180">
      <w:pPr>
        <w:pStyle w:val="Paragrafoelenco"/>
        <w:numPr>
          <w:ilvl w:val="0"/>
          <w:numId w:val="3"/>
        </w:numPr>
        <w:spacing w:after="160" w:line="480" w:lineRule="auto"/>
        <w:rPr>
          <w:rFonts w:ascii="Times New Roman" w:hAnsi="Times New Roman"/>
          <w:i/>
          <w:sz w:val="24"/>
          <w:szCs w:val="24"/>
        </w:rPr>
      </w:pPr>
      <w:r w:rsidRPr="00882180">
        <w:rPr>
          <w:rFonts w:ascii="Times New Roman" w:hAnsi="Times New Roman"/>
          <w:i/>
          <w:sz w:val="24"/>
          <w:szCs w:val="24"/>
        </w:rPr>
        <w:t xml:space="preserve">Arterite cranica </w:t>
      </w:r>
      <w:r w:rsidRPr="00882180">
        <w:rPr>
          <w:rFonts w:ascii="Times New Roman" w:hAnsi="Times New Roman"/>
          <w:sz w:val="24"/>
          <w:szCs w:val="24"/>
        </w:rPr>
        <w:t>(forma classica)</w:t>
      </w:r>
    </w:p>
    <w:p w14:paraId="387A3E75" w14:textId="77777777" w:rsidR="001A08BD" w:rsidRPr="00882180" w:rsidRDefault="001A08BD" w:rsidP="00882180">
      <w:pPr>
        <w:pStyle w:val="Paragrafoelenco"/>
        <w:numPr>
          <w:ilvl w:val="0"/>
          <w:numId w:val="3"/>
        </w:numPr>
        <w:spacing w:after="160" w:line="480" w:lineRule="auto"/>
        <w:rPr>
          <w:rFonts w:ascii="Times New Roman" w:hAnsi="Times New Roman"/>
          <w:i/>
          <w:sz w:val="24"/>
          <w:szCs w:val="24"/>
        </w:rPr>
      </w:pPr>
      <w:r w:rsidRPr="00882180">
        <w:rPr>
          <w:rFonts w:ascii="Times New Roman" w:hAnsi="Times New Roman"/>
          <w:i/>
          <w:sz w:val="24"/>
          <w:szCs w:val="24"/>
        </w:rPr>
        <w:t>Aortite clinicamente manifesta</w:t>
      </w:r>
    </w:p>
    <w:p w14:paraId="44BAD34A" w14:textId="77777777" w:rsidR="001A08BD" w:rsidRPr="00882180" w:rsidRDefault="001A08BD" w:rsidP="00882180">
      <w:pPr>
        <w:pStyle w:val="Paragrafoelenco"/>
        <w:numPr>
          <w:ilvl w:val="0"/>
          <w:numId w:val="3"/>
        </w:numPr>
        <w:spacing w:after="160" w:line="480" w:lineRule="auto"/>
        <w:rPr>
          <w:rFonts w:ascii="Times New Roman" w:hAnsi="Times New Roman"/>
          <w:i/>
          <w:sz w:val="24"/>
          <w:szCs w:val="24"/>
        </w:rPr>
      </w:pPr>
      <w:r w:rsidRPr="00882180">
        <w:rPr>
          <w:rFonts w:ascii="Times New Roman" w:hAnsi="Times New Roman"/>
          <w:i/>
          <w:sz w:val="24"/>
          <w:szCs w:val="24"/>
        </w:rPr>
        <w:t>Sindrome infiammatoria sistemica con aortite</w:t>
      </w:r>
    </w:p>
    <w:p w14:paraId="4E488DFB" w14:textId="77777777" w:rsidR="001A08BD" w:rsidRPr="00882180" w:rsidRDefault="001A08BD" w:rsidP="00882180">
      <w:pPr>
        <w:pStyle w:val="Paragrafoelenco"/>
        <w:numPr>
          <w:ilvl w:val="0"/>
          <w:numId w:val="3"/>
        </w:numPr>
        <w:spacing w:after="160" w:line="480" w:lineRule="auto"/>
        <w:rPr>
          <w:rFonts w:ascii="Times New Roman" w:hAnsi="Times New Roman"/>
          <w:i/>
          <w:sz w:val="24"/>
          <w:szCs w:val="24"/>
        </w:rPr>
      </w:pPr>
      <w:r w:rsidRPr="00882180">
        <w:rPr>
          <w:rFonts w:ascii="Times New Roman" w:hAnsi="Times New Roman"/>
          <w:i/>
          <w:sz w:val="24"/>
          <w:szCs w:val="24"/>
        </w:rPr>
        <w:t>In associazione a PMR</w:t>
      </w:r>
    </w:p>
    <w:p w14:paraId="507BB6B1"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Le manifestazioni possono sovrapporsi e vanno considerate nell’ambito di una singola patologia nel singolo paziente.</w:t>
      </w:r>
    </w:p>
    <w:p w14:paraId="351C7C58" w14:textId="77777777" w:rsidR="001A08BD" w:rsidRPr="00882180" w:rsidRDefault="001A08BD" w:rsidP="00882180">
      <w:pPr>
        <w:pStyle w:val="Paragrafoelenco"/>
        <w:numPr>
          <w:ilvl w:val="0"/>
          <w:numId w:val="4"/>
        </w:numPr>
        <w:spacing w:after="160" w:line="480" w:lineRule="auto"/>
        <w:rPr>
          <w:rFonts w:ascii="Times New Roman" w:hAnsi="Times New Roman"/>
          <w:i/>
          <w:sz w:val="24"/>
          <w:szCs w:val="24"/>
        </w:rPr>
      </w:pPr>
      <w:r w:rsidRPr="00882180">
        <w:rPr>
          <w:rFonts w:ascii="Times New Roman" w:hAnsi="Times New Roman"/>
          <w:i/>
          <w:sz w:val="24"/>
          <w:szCs w:val="24"/>
        </w:rPr>
        <w:t>Aortite cranica (forma classica)</w:t>
      </w:r>
    </w:p>
    <w:p w14:paraId="20DAFFDB"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Il sintomo più suggestivo e frequente è la cefalea</w:t>
      </w:r>
      <w:r w:rsidRPr="00882180">
        <w:rPr>
          <w:rFonts w:ascii="Times New Roman" w:hAnsi="Times New Roman" w:cs="Times New Roman"/>
          <w:b/>
          <w:sz w:val="24"/>
          <w:szCs w:val="24"/>
        </w:rPr>
        <w:t xml:space="preserve"> </w:t>
      </w:r>
      <w:r w:rsidRPr="00882180">
        <w:rPr>
          <w:rFonts w:ascii="Times New Roman" w:hAnsi="Times New Roman" w:cs="Times New Roman"/>
          <w:sz w:val="24"/>
          <w:szCs w:val="24"/>
        </w:rPr>
        <w:t>con dolore sia acuto e trafittivo che più lieve e cronico localizzato in sede temporale, mono o bilaterale o mal localizzata. A questa si associa claudicatio masticatoria</w:t>
      </w:r>
      <w:r w:rsidRPr="00882180">
        <w:rPr>
          <w:rFonts w:ascii="Times New Roman" w:hAnsi="Times New Roman" w:cs="Times New Roman"/>
          <w:b/>
          <w:sz w:val="24"/>
          <w:szCs w:val="24"/>
        </w:rPr>
        <w:t xml:space="preserve"> </w:t>
      </w:r>
      <w:r w:rsidRPr="00882180">
        <w:rPr>
          <w:rFonts w:ascii="Times New Roman" w:hAnsi="Times New Roman" w:cs="Times New Roman"/>
          <w:sz w:val="24"/>
          <w:szCs w:val="24"/>
        </w:rPr>
        <w:t>(40-60%) o più raramente alla deglutizione o al movimento della lingua</w:t>
      </w:r>
      <w:r w:rsidR="00C939C4" w:rsidRPr="00882180">
        <w:rPr>
          <w:rFonts w:ascii="Times New Roman" w:hAnsi="Times New Roman" w:cs="Times New Roman"/>
          <w:sz w:val="24"/>
          <w:szCs w:val="24"/>
        </w:rPr>
        <w:t xml:space="preserve"> e ridotta pulsatilità dell’arteria temporale</w:t>
      </w:r>
      <w:r w:rsidRPr="00882180">
        <w:rPr>
          <w:rFonts w:ascii="Times New Roman" w:hAnsi="Times New Roman" w:cs="Times New Roman"/>
          <w:sz w:val="24"/>
          <w:szCs w:val="24"/>
        </w:rPr>
        <w:t>.</w:t>
      </w:r>
    </w:p>
    <w:p w14:paraId="0C963DC4"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Importante manifestazione è il coinvolgimento del visus</w:t>
      </w:r>
      <w:r w:rsidR="004811BC" w:rsidRPr="00882180">
        <w:rPr>
          <w:rFonts w:ascii="Times New Roman" w:hAnsi="Times New Roman" w:cs="Times New Roman"/>
          <w:sz w:val="24"/>
          <w:szCs w:val="24"/>
        </w:rPr>
        <w:t>;</w:t>
      </w:r>
      <w:r w:rsidRPr="00882180">
        <w:rPr>
          <w:rFonts w:ascii="Times New Roman" w:hAnsi="Times New Roman" w:cs="Times New Roman"/>
          <w:color w:val="4F81BD" w:themeColor="accent1"/>
          <w:sz w:val="24"/>
          <w:szCs w:val="24"/>
        </w:rPr>
        <w:t xml:space="preserve"> </w:t>
      </w:r>
      <w:r w:rsidRPr="00882180">
        <w:rPr>
          <w:rFonts w:ascii="Times New Roman" w:hAnsi="Times New Roman" w:cs="Times New Roman"/>
          <w:sz w:val="24"/>
          <w:szCs w:val="24"/>
        </w:rPr>
        <w:t xml:space="preserve">completo o parziale, è spesso una manifestazione molto precoce della malattia </w:t>
      </w:r>
      <w:r w:rsidR="0032103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10.1002/art.21075","author":[{"dropping-particle":"","family":"Salvarani","given":"Carlo","non-dropping-particle":"","parse-names":false,"suffix":""},{"dropping-particle":"","family":"Cimino","given":"Luca","non-dropping-particle":"","parse-names":false,"suffix":""},{"dropping-particle":"","family":"Macchioni","given":"Pierluigi","non-dropping-particle":"","parse-names":false,"suffix":""},{"dropping-particle":"","family":"Consonni","given":"Dario","non-dropping-particle":"","parse-names":false,"suffix":""},{"dropping-particle":"","family":"Catanoso","given":"Maria Grazia","non-dropping-particle":"","parse-names":false,"suffix":""},{"dropping-particle":"","family":"Cantini","given":"Fabrizio","non-dropping-particle":"","parse-names":false,"suffix":""},{"dropping-particle":"","family":"Bajocchi","given":"Gianluigi","non-dropping-particle":"","parse-names":false,"suffix":""},{"dropping-particle":"","family":"Catanoso","given":"Maria Grazia","non-dropping-particle":"","parse-names":false,"suffix":""},{"dropping-particle":"","family":"Boiardi","given":"Luigi","non-dropping-particle":"","parse-names":false,"suffix":""},{"dropping-particle":"","family":"Nuova","given":"Maria","non-dropping-particle":"","parse-names":false,"suffix":""},{"dropping-particle":"","family":"Emilia","given":"Reggio","non-dropping-particle":"","parse-names":false,"suffix":""},{"dropping-particle":"","family":"Ospedaliera","given":"Azienda","non-dropping-particle":"","parse-names":false,"suffix":""},{"dropping-particle":"","family":"Clinici","given":"Istituti","non-dropping-particle":"","parse-names":false,"suffix":""},{"dropping-particle":"","family":"Santa","given":"Arcispedale","non-dropping-particle":"","parse-names":false,"suffix":""},{"dropping-particle":"","family":"Nuova","given":"Maria","non-dropping-particle":"","parse-names":false,"suffix":""},{"dropping-particle":"","family":"Ri-","given":"V","non-dropping-particle":"","parse-names":false,"suffix":""},{"dropping-particle":"","family":"Emilia","given":"Reggio","non-dropping-particle":"","parse-names":false,"suffix":""}],"id":"ITEM-1","issue":"2","issued":{"date-parts":[["2005"]]},"page":"293-297","title":"Risk Factors for Visual Loss in an Italian Population-Based Cohort of Patients With Giant Cell Arteritis","type":"article-journal","volume":"53"},"uris":["http://www.mendeley.com/documents/?uuid=6376e7d4-1d04-451f-915e-4579ca6dbb67"]}],"mendeley":{"formattedCitation":"&lt;sup&gt;12&lt;/sup&gt;","plainTextFormattedCitation":"12","previouslyFormattedCitation":"&lt;sup&gt;12&lt;/sup&gt;"},"properties":{"noteIndex":0},"schema":"https://github.com/citation-style-language/schema/raw/master/csl-citation.json"}</w:instrText>
      </w:r>
      <w:r w:rsidR="0032103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12</w:t>
      </w:r>
      <w:r w:rsidR="00321032" w:rsidRPr="00882180">
        <w:rPr>
          <w:rFonts w:ascii="Times New Roman" w:hAnsi="Times New Roman" w:cs="Times New Roman"/>
          <w:sz w:val="24"/>
          <w:szCs w:val="24"/>
        </w:rPr>
        <w:fldChar w:fldCharType="end"/>
      </w:r>
      <w:r w:rsidR="004811BC" w:rsidRPr="00882180">
        <w:rPr>
          <w:rFonts w:ascii="Times New Roman" w:hAnsi="Times New Roman" w:cs="Times New Roman"/>
          <w:sz w:val="24"/>
          <w:szCs w:val="24"/>
        </w:rPr>
        <w:t>. Esso</w:t>
      </w:r>
      <w:r w:rsidRPr="00882180">
        <w:rPr>
          <w:rFonts w:ascii="Times New Roman" w:hAnsi="Times New Roman" w:cs="Times New Roman"/>
          <w:sz w:val="24"/>
          <w:szCs w:val="24"/>
        </w:rPr>
        <w:t xml:space="preserve"> si manifesta con segni premonitori come oscuramento o amaurosi fugace, quindi perdita del visus (totale o parziale) monolaterale; la cecità diventa quasi sempre irreversibile entro i primissimi giorni ed inoltre l’occhio controlaterale può essere colpito anche in meno di 24 ore. Anche se assente all’esordio, l’interessamento oculare può svilupparsi molto rapidamente. La cecità bilaterale fa seguito dunque ad un ritardo diagnostico. Secondo due recenti studi, uno spagnolo e uno israeliano, la perdita del visus nei soggetti affetti d AGC era rispettivamente del 14,9% e del 18,3% </w:t>
      </w:r>
      <w:r w:rsidR="0032103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{"citationItems":[{"id":"ITEM-1","itemData":{"DOI":"10.1097/00005792-200009000-00001","ISSN":"00257974","abstract":"Giant cell (temporal) arteritis (GCA) is the most common systemic vasculitis in Western countries. It involves large and medium-sized vessels with predisposition to the cranial arteries in the elderly. Cranial ischemic complications, in particular permanent visual loss, constitute the most feared aspects of this vasculitis. Although the use of corticosteroids and a higher physician awareness may have contributed to a decrease in the frequency of severe ischemic complications, permanent visual loss is still present in 7%-14% of patients. To investigate further the incidence, trends, and clinical spectrum of visual manifestations in patients with GCA, we examined the features of patients with biopsy-proven GCA diagnosed at the single reference hospital for a defined population in northwestern Spain during an 18-year period. Predictive factors for the development of any visual manifestation, not only permanent visual loss, were also examined. Between 1981 and 1998, 161 patients were diagnosed with biopsy-proven GCA. Visual ischemic complications were observed in 42 (26.1%), and irreversible blindness, mainly due to anterior ischemic optic neuropathy and frequently preceded by amaurosis fugax, was found in 24 (14.9%). Despite a progressive increase in the number of new cases diagnosed, there was not a significant change in the proportion of patients with visual manifestations during the study period (p = 0.37). Patients with visual ischemic complications had lower clinical and laboratory biologic markers of inflammation. Indeed, during the last years of the study, anemia was associated with a very low risk of visual complications. Also, HLA-DRB1*04-positive patients had visual manifestations more commonly. Patients with other ischemic complications developed irreversible blindness more frequently. The best predictors of any visual complication were HLA-DRB1*04 phenotype (odds ratio [OR] 7.47) and the absence of anemia at the time of admission (OR for patients with anemia = 0.07). The best predictors of irreversible blindness (permanent visual loss) were amaurosis fugax (OR 12.63) and cerebrovascular accidents (OR 26.51). The present study supports the claim that ocular ischemic complications are still frequent in biopsy-proven GCA patients from southern Europe. The presence of other ischemic complications constitutes an alarm for the development of irreversible blindness. In contrast, a higher inflammatory response may be a protective factor against the dev…","author":[{"dropping-particle":"","family":"González-Gay","given":"Miguel A.","non-dropping-particle":"","parse-names":false,"suffix":""},{"dropping-particle":"","family":"García-Porrúa","given":"Carlos","non-dropping-particle":"","parse-names":false,"suffix":""},{"dropping-particle":"","family":"Llorca","given":"Javier","non-dropping-particle":"","parse-names":false,"suffix":""},{"dropping-particle":"","family":"Hajeer","given":"Ali H.","non-dropping-particle":"","parse-names":false,"suffix":""},{"dropping-particle":"","family":"Brañas","given":"Francisco","non-dropping-particle":"","parse-names":false,"suffix":""},{"dropping-particle":"","family":"Dababneh","given":"Adele","non-dropping-particle":"","parse-names":false,"suffix":""},{"dropping-particle":"","family":"González-Louzao","given":"Carmen","non-dropping-particle":"","parse-names":false,"suffix":""},{"dropping-particle":"","family":"Rodriguez-Gil","given":"Elena","non-dropping-particle":"","parse-names":false,"suffix":""},{"dropping-particle":"","family":"Rodríguez-Ledo","given":"Pilar","non-dropping-particle":"","parse-names":false,"suffix":""},{"dropping-particle":"","family":"Ollier","given":"William E.R.","non-dropping-particle":"","parse-names":false,"suffix":""}],"container-title":"Medicine","id":"ITEM-1","issue":"5","issued":{"date-parts":[["2000"]]},"page":"283-292","title":"Visual manifestations of giant cell arteritis: Trends and clinical spectrum in 161 patients","type":"article","volume":"79"},"uris":["http://www.mendeley.com/documents/?uuid=04c67978-cced-4e3f-b897-90296ff7d95e"]}],"mendeley":{"formattedCitation":"&lt;sup&gt;13&lt;/sup&gt;","plainTextFormattedCitation":"13","previouslyFormattedCitation":"&lt;sup&gt;13&lt;/sup&gt;"},"properties":{"noteIndex":0},"schema":"https://github.com/citation-style-language/schema/raw/master/csl-citation.json"}</w:instrText>
      </w:r>
      <w:r w:rsidR="0032103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13</w:t>
      </w:r>
      <w:r w:rsidR="00321032"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0F4544"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{"citationItems":[{"id":"ITEM-1","itemData":{"DOI":"10.1097/01.md.0000119761.27564.c9","ISSN":"00257974","abstract":"Cranial ischemic complications (CICs) are among the presenting manifestations of giant cell arteritis (GCA). Yet patients with GCA may develop CICs at a later stage, despite steroid therapy. In the current report we delineate risk factors for CICs, both at presentation and during follow-up, and review the relevant literature. We reviewed charts of 175 patients with GCA. Follow-up data were available for 166 patients. CICs at presentation or developing within 2 weeks of GCA diagnosis were considered GCA related. CICs developing later were considered GCA related only when associated with other GCA-related manifestations or acute-phase reactions. Associations between CICs and other variables were tested by multivariate analysis. At presentation, 43 patients (24.6%) had CICs. Risk factors were transient cerebro-ophthalmic ischemic episodes (COIEs) (odds ratio [OR] 4.3) and male sex (OR 2.5), while the presence of systemic symptoms was \"protective\" (OR 0.3). During follow-up 8.4% of patients with GCA developed new CICs. Risk factors in these cases were previous CICs at presentation (OR 5.6) and transient COIEs developing during follow-up (OR 14.8). The use of low-dose aspirin was protective (OR 0.2). These data, together with data from the literature review, suggest that GCA patients with transient COIEs and without fever or other systemic symptoms are at increased risk of presenting with CICs. Risk factors for late-developing CICs were CICs at presentation and late-developing transient COIEs.","author":[{"dropping-particle":"","family":"Nesher","given":"Gideon","non-dropping-particle":"","parse-names":false,"suffix":""},{"dropping-particle":"","family":"Berkun","given":"Yaakov","non-dropping-particle":"","parse-names":false,"suffix":""},{"dropping-particle":"","family":"Mates","given":"Michal","non-dropping-particle":"","parse-names":false,"suffix":""},{"dropping-particle":"","family":"Baras","given":"Mario","non-dropping-particle":"","parse-names":false,"suffix":""},{"dropping-particle":"","family":"Nesher","given":"Ronit","non-dropping-particle":"","parse-names":false,"suffix":""},{"dropping-particle":"","family":"Rubinow","given":"Alan","non-dropping-particle":"","parse-names":false,"suffix":""},{"dropping-particle":"","family":"Sonnenblick","given":"Moshe","non-dropping-particle":"","parse-names":false,"suffix":""}],"container-title":"Medicine","id":"ITEM-1","issue":"2","issued":{"date-parts":[["2004"]]},"page":"114-122","title":"Risk Factors for Cranial Ischemic Complications in Giant Cell Arteritis","type":"article-journal","volume":"83"},"uris":["http://www.mendeley.com/documents/?uuid=7dc0dcd5-5899-4c98-b40f-181cd639a889"]}],"mendeley":{"formattedCitation":"&lt;sup&gt;14&lt;/sup&gt;","plainTextFormattedCitation":"14","previouslyFormattedCitation":"&lt;sup&gt;14&lt;/sup&gt;"},"properties":{"noteIndex":0},"schema":"https://github.com/citation-style-language/schema/raw/master/csl-citation.json"}</w:instrText>
      </w:r>
      <w:r w:rsidR="000F4544"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14</w:t>
      </w:r>
      <w:r w:rsidR="000F4544"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7ACC4D6F"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lastRenderedPageBreak/>
        <w:t xml:space="preserve">Studi meno recenti avevano riscontrato disturbi della vista nel 30%-60% dei soggetti, </w:t>
      </w:r>
      <w:r w:rsidR="004811BC" w:rsidRPr="00882180">
        <w:rPr>
          <w:rFonts w:ascii="Times New Roman" w:hAnsi="Times New Roman" w:cs="Times New Roman"/>
          <w:sz w:val="24"/>
          <w:szCs w:val="24"/>
        </w:rPr>
        <w:t xml:space="preserve">percentuale </w:t>
      </w:r>
      <w:r w:rsidRPr="00882180">
        <w:rPr>
          <w:rFonts w:ascii="Times New Roman" w:hAnsi="Times New Roman" w:cs="Times New Roman"/>
          <w:sz w:val="24"/>
          <w:szCs w:val="24"/>
        </w:rPr>
        <w:t>che si è ridott</w:t>
      </w:r>
      <w:r w:rsidR="004811BC" w:rsidRPr="00882180">
        <w:rPr>
          <w:rFonts w:ascii="Times New Roman" w:hAnsi="Times New Roman" w:cs="Times New Roman"/>
          <w:sz w:val="24"/>
          <w:szCs w:val="24"/>
        </w:rPr>
        <w:t>a</w:t>
      </w:r>
      <w:r w:rsidRPr="00882180">
        <w:rPr>
          <w:rFonts w:ascii="Times New Roman" w:hAnsi="Times New Roman" w:cs="Times New Roman"/>
          <w:sz w:val="24"/>
          <w:szCs w:val="24"/>
        </w:rPr>
        <w:t xml:space="preserve"> grazie alla più precoce diagnosi e inizio della terapia con GC</w:t>
      </w:r>
      <w:r w:rsidR="000F4544"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10.1002/art.21075","author":[{"dropping-particle":"","family":"Salvarani","given":"Carlo","non-dropping-particle":"","parse-names":false,"suffix":""},{"dropping-particle":"","family":"Cimino","given":"Luca","non-dropping-particle":"","parse-names":false,"suffix":""},{"dropping-particle":"","family":"Macchioni","given":"Pierluigi","non-dropping-particle":"","parse-names":false,"suffix":""},{"dropping-particle":"","family":"Consonni","given":"Dario","non-dropping-particle":"","parse-names":false,"suffix":""},{"dropping-particle":"","family":"Catanoso","given":"Maria Grazia","non-dropping-particle":"","parse-names":false,"suffix":""},{"dropping-particle":"","family":"Cantini","given":"Fabrizio","non-dropping-particle":"","parse-names":false,"suffix":""},{"dropping-particle":"","family":"Bajocchi","given":"Gianluigi","non-dropping-particle":"","parse-names":false,"suffix":""},{"dropping-particle":"","family":"Catanoso","given":"Maria Grazia","non-dropping-particle":"","parse-names":false,"suffix":""},{"dropping-particle":"","family":"Boiardi","given":"Luigi","non-dropping-particle":"","parse-names":false,"suffix":""},{"dropping-particle":"","family":"Nuova","given":"Maria","non-dropping-particle":"","parse-names":false,"suffix":""},{"dropping-particle":"","family":"Emilia","given":"Reggio","non-dropping-particle":"","parse-names":false,"suffix":""},{"dropping-particle":"","family":"Ospedaliera","given":"Azienda","non-dropping-particle":"","parse-names":false,"suffix":""},{"dropping-particle":"","family":"Clinici","given":"Istituti","non-dropping-particle":"","parse-names":false,"suffix":""},{"dropping-particle":"","family":"Santa","given":"Arcispedale","non-dropping-particle":"","parse-names":false,"suffix":""},{"dropping-particle":"","family":"Nuova","given":"Maria","non-dropping-particle":"","parse-names":false,"suffix":""},{"dropping-particle":"","family":"Ri-","given":"V","non-dropping-particle":"","parse-names":false,"suffix":""},{"dropping-particle":"","family":"Emilia","given":"Reggio","non-dropping-particle":"","parse-names":false,"suffix":""}],"id":"ITEM-1","issue":"2","issued":{"date-parts":[["2005"]]},"page":"293-297","title":"Risk Factors for Visual Loss in an Italian Population-Based Cohort of Patients With Giant Cell Arteritis","type":"article-journal","volume":"53"},"uris":["http://www.mendeley.com/documents/?uuid=6376e7d4-1d04-451f-915e-4579ca6dbb67"]}],"mendeley":{"formattedCitation":"&lt;sup&gt;12&lt;/sup&gt;","plainTextFormattedCitation":"12","previouslyFormattedCitation":"&lt;sup&gt;12&lt;/sup&gt;"},"properties":{"noteIndex":0},"schema":"https://github.com/citation-style-language/schema/raw/master/csl-citation.json"}</w:instrText>
      </w:r>
      <w:r w:rsidR="000F4544"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12</w:t>
      </w:r>
      <w:r w:rsidR="000F4544"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p>
    <w:p w14:paraId="0AC3953C"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Cid et al hanno riportato che soggetti con una importante risposta della fase acuta (febbre, perdita di peso, VES ≥ 85mm/h, Hb &lt;11 g/dl) alla diagnosi hanno meno probabilità di sviluppare perdita del visus </w:t>
      </w:r>
      <w:r w:rsidR="000F4544"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{"citationItems":[{"id":"ITEM-1","itemData":{"DOI":"10.1002/1529-0131(199801)41:1&lt;26::AID-ART4&gt;3.0.CO;2-0","ISSN":"00043591","abstract":"Objective. To identify clinical and biochemical parameters that have good predictive value for identifying giant cell (temporal) arteritis (GCA) patients who are at high or low risk of developing cranial ischemic events. Methods. In this multicenter study, records of patients at 3 university hospitals in Barcelona were reviewed retrospectively. Two hundred consecutive patients with biopsy-proven GCA were studied. Results. Thirty-two patients developed irreversible cranial ischemic complications. The duration of clinical symptoms before diagnosis was similar in patients with and those without ischemic events. Patients with ischemic complications less frequently had fever (18.8% versus 56.9%) and weight loss (21.9% versus 62%) and more frequently had amaurosis fugax (32.3% versus 6%) and transient diplopia (15.6% versus 3.6%). Patients with ischemic events had lower erythrocyte sedimentation rates (ESR) (82.7 mm/hour versus 104.4 mm/hour) and higher concentrations of hemoglobin (12.2 gm/dl versus 10.9 gm/dl) and albumin (37.4 gm/liter versus 32.7 gm/liter). Clinical inflammatory status and biologic inflammatory status were defined empirically (clinical: fever and weight loss; biologic: ESR ≤85 mm/hour and hemoglobin &lt;11.0 gm/dl). Patients not showing a clinical and biologic inflammatory response were at high risk of developing ischemic events (odds ratio [OR] 5, 95% confidence interval [95% CI] 2.05-12.2). The risk was greatly reduced among patients with either a clinical (OR 0.177, 95% CI 0.052-0.605) or a biologic (OR 0.226, 95% CI 0.076-0.675) inflammatory reaction. No patient with both a clinical and a biologic response developed ischemic events. Conclusion. The presence of a strong acute-phase response defines a subgroup of patients at very low risk of developing cranial ischemic complications. Our findings provide a rationale for testing less aggressive treatment schedules in these individuals. Conversely, a low inflammatory response and the presence of transient cranial ischemic events provide a high risk of developing irreversible ischemic complications and require a prompt therapeutic intervention.","author":[{"dropping-particle":"","family":"Cid","given":"Maria C.","non-dropping-particle":"","parse-names":false,"suffix":""},{"dropping-particle":"","family":"Font","given":"Carme","non-dropping-particle":"","parse-names":false,"suffix":""},{"dropping-particle":"","family":"Oristrell","given":"Joaquim","non-dropping-particle":"","parse-names":false,"suffix":""},{"dropping-particle":"","family":"La Sierra","given":"Alejandro","non-dropping-particle":"De","parse-names":false,"suffix":""},{"dropping-particle":"","family":"Coll-Vinent","given":"Blanca","non-dropping-particle":"","parse-names":false,"suffix":""},{"dropping-particle":"","family":"López-Soto","given":"Alfons","non-dropping-particle":"","parse-names":false,"suffix":""},{"dropping-particle":"","family":"Vilaseca","given":"Jaume","non-dropping-particle":"","parse-names":false,"suffix":""},{"dropping-particle":"","family":"Urbano-Márquez","given":"Alvaro","non-dropping-particle":"","parse-names":false,"suffix":""},{"dropping-particle":"","family":"Grau","given":"Josep M.","non-dropping-particle":"","parse-names":false,"suffix":""}],"container-title":"Arthritis and Rheumatism","id":"ITEM-1","issue":"1","issued":{"date-parts":[["1998"]]},"page":"26-32","title":"Association between strong inflammatory response and low risk of developing visual loss and other cranial ischemic complications in giant cell (temporal) arteritis","type":"article-journal","volume":"41"},"uris":["http://www.mendeley.com/documents/?uuid=11605f63-d19b-4380-a0c5-aede4b7c48af"]}],"mendeley":{"formattedCitation":"&lt;sup&gt;15&lt;/sup&gt;","plainTextFormattedCitation":"15","previouslyFormattedCitation":"&lt;sup&gt;15&lt;/sup&gt;"},"properties":{"noteIndex":0},"schema":"https://github.com/citation-style-language/schema/raw/master/csl-citation.json"}</w:instrText>
      </w:r>
      <w:r w:rsidR="000F4544"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15</w:t>
      </w:r>
      <w:r w:rsidR="000F4544"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In particolare una grossa risposta febbrile sembra essere correlata con un rischio inferiore di sviluppare un coinvolgimento della vista </w:t>
      </w:r>
      <w:r w:rsidR="000F4544"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{"citationItems":[{"id":"ITEM-1","itemData":{"DOI":"10.1097/01.md.0000119761.27564.c9","ISSN":"00257974","abstract":"Cranial ischemic complications (CICs) are among the presenting manifestations of giant cell arteritis (GCA). Yet patients with GCA may develop CICs at a later stage, despite steroid therapy. In the current report we delineate risk factors for CICs, both at presentation and during follow-up, and review the relevant literature. We reviewed charts of 175 patients with GCA. Follow-up data were available for 166 patients. CICs at presentation or developing within 2 weeks of GCA diagnosis were considered GCA related. CICs developing later were considered GCA related only when associated with other GCA-related manifestations or acute-phase reactions. Associations between CICs and other variables were tested by multivariate analysis. At presentation, 43 patients (24.6%) had CICs. Risk factors were transient cerebro-ophthalmic ischemic episodes (COIEs) (odds ratio [OR] 4.3) and male sex (OR 2.5), while the presence of systemic symptoms was \"protective\" (OR 0.3). During follow-up 8.4% of patients with GCA developed new CICs. Risk factors in these cases were previous CICs at presentation (OR 5.6) and transient COIEs developing during follow-up (OR 14.8). The use of low-dose aspirin was protective (OR 0.2). These data, together with data from the literature review, suggest that GCA patients with transient COIEs and without fever or other systemic symptoms are at increased risk of presenting with CICs. Risk factors for late-developing CICs were CICs at presentation and late-developing transient COIEs.","author":[{"dropping-particle":"","family":"Nesher","given":"Gideon","non-dropping-particle":"","parse-names":false,"suffix":""},{"dropping-particle":"","family":"Berkun","given":"Yaakov","non-dropping-particle":"","parse-names":false,"suffix":""},{"dropping-particle":"","family":"Mates","given":"Michal","non-dropping-particle":"","parse-names":false,"suffix":""},{"dropping-particle":"","family":"Baras","given":"Mario","non-dropping-particle":"","parse-names":false,"suffix":""},{"dropping-particle":"","family":"Nesher","given":"Ronit","non-dropping-particle":"","parse-names":false,"suffix":""},{"dropping-particle":"","family":"Rubinow","given":"Alan","non-dropping-particle":"","parse-names":false,"suffix":""},{"dropping-particle":"","family":"Sonnenblick","given":"Moshe","non-dropping-particle":"","parse-names":false,"suffix":""}],"container-title":"Medicine","id":"ITEM-1","issue":"2","issued":{"date-parts":[["2004"]]},"page":"114-122","title":"Risk Factors for Cranial Ischemic Complications in Giant Cell Arteritis","type":"article-journal","volume":"83"},"uris":["http://www.mendeley.com/documents/?uuid=7dc0dcd5-5899-4c98-b40f-181cd639a889"]}],"mendeley":{"formattedCitation":"&lt;sup&gt;14&lt;/sup&gt;","plainTextFormattedCitation":"14","previouslyFormattedCitation":"&lt;sup&gt;14&lt;/sup&gt;"},"properties":{"noteIndex":0},"schema":"https://github.com/citation-style-language/schema/raw/master/csl-citation.json"}</w:instrText>
      </w:r>
      <w:r w:rsidR="000F4544"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14</w:t>
      </w:r>
      <w:r w:rsidR="000F4544"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0F4544"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0F4544"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16</w:t>
      </w:r>
      <w:r w:rsidR="000F4544"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27310F"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{"citationItems":[{"id":"ITEM-1","itemData":{"DOI":"10.1016/S0002-9343(01)00770-7","ISSN":"00029343","abstract":"objective: To determine the risk factors - especially the effects of thrombocytosis - for permanent visual loss in patients with temporal arteritis. METHODS: One hundred seventy-four patients with temporal arteritis (147 biopsy proven) were prospectively observed for the development of permanent visual loss. We used multivariate logistic regression analysis to determine which of 17 pretreatment characteristics were associated with visual loss. RESULTS: Visual ischemic manifestations occurred in 48 (20%) patients, including permanent visual loss in 23 (13%) patients. The independent predictors associated with an increased risk of permanent visual loss were a history of transient visual ischemic symptoms (odds ratio [OR] = 6.3; 95% confidence interval [CI]: 1.4 to 29; P = 0.02) and a higher platelet count (OR = 3.7 per SD; 95% CI: 1.8 to 7.9: P = 0.001). The presence of constitutional symptoms (OR = 0.14; 95% CI: 0.02 to 0.77, P = 0.01), polymyalgia rheumatica (OR = 0.04; 95% CI: 0.01 to 0.48, P = 0.02), and C-reactive protein level (OR = 0.35 per SD; 95% CI: 0.13 to 0.92, P = 0.03) were associated with a reduced risk. Upper limb artery involvement was excluded from the multivariate model, as no patients with that problem developed with permanent visual loss. Of the 87 patients who presented with thrombocytosis (platelet count &gt;400 × 109/L), 32 (37%) developed ischemic visual symptoms, compared with 16 (18%) of those without thrombocytosis. CONCLUSIONS: An elevated platelet count is a risk factor for permanent visual loss in temporal arteritis. The finding of thrombocytosis in a patient with suspected temporal arteritis should emphasize the need for urgent treatment, with consideration of using inhibitors of platelet aggregation or anticoagulation therapy. © 2001 by Excerpta Medica, Inc.","author":[{"dropping-particle":"","family":"Liozon","given":"Eric","non-dropping-particle":"","parse-names":false,"suffix":""},{"dropping-particle":"","family":"Herrmann","given":"François","non-dropping-particle":"","parse-names":false,"suffix":""},{"dropping-particle":"","family":"Ly","given":"Kim","non-dropping-particle":"","parse-names":false,"suffix":""},{"dropping-particle":"","family":"Robert","given":"Pierre Yves","non-dropping-particle":"","parse-names":false,"suffix":""},{"dropping-particle":"","family":"Loustaud","given":"Véronique","non-dropping-particle":"","parse-names":false,"suffix":""},{"dropping-particle":"","family":"Soria","given":"Pascale","non-dropping-particle":"","parse-names":false,"suffix":""},{"dropping-particle":"","family":"Vidal","given":"Elisabeth","non-dropping-particle":"","parse-names":false,"suffix":""}],"container-title":"American Journal of Medicine","id":"ITEM-1","issued":{"date-parts":[["2001"]]},"title":"Risk factors for visual loss in giant cell (temporal) arteritis: A prospective study of 174 patients","type":"article-journal"},"uris":["http://www.mendeley.com/documents/?uuid=18793d3e-6443-356f-a2f6-1b7423dd02a3"]}],"mendeley":{"formattedCitation":"&lt;sup&gt;17&lt;/sup&gt;","plainTextFormattedCitation":"17","previouslyFormattedCitation":"&lt;sup&gt;17&lt;/sup&gt;"},"properties":{"noteIndex":0},"schema":"https://github.com/citation-style-language/schema/raw/master/csl-citation.json"}</w:instrText>
      </w:r>
      <w:r w:rsidR="0027310F"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17</w:t>
      </w:r>
      <w:r w:rsidR="0027310F" w:rsidRPr="00882180">
        <w:rPr>
          <w:rFonts w:ascii="Times New Roman" w:hAnsi="Times New Roman" w:cs="Times New Roman"/>
          <w:sz w:val="24"/>
          <w:szCs w:val="24"/>
        </w:rPr>
        <w:fldChar w:fldCharType="end"/>
      </w:r>
      <w:r w:rsidR="0027310F" w:rsidRPr="00882180">
        <w:rPr>
          <w:rFonts w:ascii="Times New Roman" w:hAnsi="Times New Roman" w:cs="Times New Roman"/>
          <w:sz w:val="24"/>
          <w:szCs w:val="24"/>
        </w:rPr>
        <w:t xml:space="preserve"> </w:t>
      </w:r>
      <w:r w:rsidR="0027310F"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{"citationItems":[{"id":"ITEM-1","itemData":{"DOI":"10.1002/1529-0131(199808)41:8&lt;1497::AID-ART22&gt;3.0.CO;2-Z","ISSN":"00043591","abstract":"Objective. To assess the features and therapeutic response of visual manifestations and cerebrovascular accidents (CVA) in giant cell (temporal) arteritis (GCA) and to identify the predictors for permanent visual loss (VL) and CVA in GCA. Methods: Two hundred thirty-nine patients with biopsy-proven GCA were included in a retrospective multicenter study. Data on demographic, clinical, and laboratory features were collected. The predictors were identified by a forward stepwise nonconditional logistic regression analysis. Results. Visual involvement was observed in 69 patients, and 34 had permanent VL. The diagnostic delay since the onset of visual symptoms was longer in the 11 patients with bilateral VL. The interval to involvement of the second eye was 5 days. The predictors of permanent VL were transient VL, jaw claudication, normal levels of liver enzymes, and absence of constitutional syndrome. Partial improvement of visual acuity was observed in 8 patients. After adjustment for the treatment regimen (intravenous pulse methylprednisolone versus oral prednisone), early treatment (within the first day of VL) was the only predictor of improvement. CVA, observed in 8 patients, involved the vertebral-basilar territory in 4. CVA was more frequent in patients with visual symptoms, appearing shortly after VL (median 7 days) and despite appropriate therapy. Predictors of CVA were permanent VL and jaw claudication. Conclusion. In GCA, the risk of permanent VL is increased in patients with transient VL and/or jaw claudication, and decreased in those with elevated liver enzyme levels and/or constitutional syndrome. Partial therapeutic success is more probable if treatment is started within the first day of VL. CVA is more likely in patients with permanent VL and/or jaw claudication, often developing despite appropriate corticosteroid therapy.","author":[{"dropping-particle":"","family":"González-Gay","given":"Miguel A.","non-dropping-particle":"","parse-names":false,"suffix":""},{"dropping-particle":"","family":"Blanco","given":"Ricardo","non-dropping-particle":"","parse-names":false,"suffix":""},{"dropping-particle":"","family":"Rodríguez-Valverde","given":"Vicente","non-dropping-particle":"","parse-names":false,"suffix":""},{"dropping-particle":"","family":"Martínez-Taboada","given":"Victor M.","non-dropping-particle":"","parse-names":false,"suffix":""},{"dropping-particle":"","family":"Delgado-Rodriguez","given":"Miguel","non-dropping-particle":"","parse-names":false,"suffix":""},{"dropping-particle":"","family":"Figueroa","given":"Manuel","non-dropping-particle":"","parse-names":false,"suffix":""},{"dropping-particle":"","family":"Uriarte","given":"Esther","non-dropping-particle":"","parse-names":false,"suffix":""}],"container-title":"Arthritis and Rheumatism","id":"ITEM-1","issue":"8","issued":{"date-parts":[["1998"]]},"page":"1497-1504","title":"Permanent visual loss and cerebrovascular accidents in giant cell arteritis: Predictors and response to treatment","type":"article-journal","volume":"41"},"uris":["http://www.mendeley.com/documents/?uuid=664410da-4542-4e87-8111-3e0157abbdd2"]}],"mendeley":{"formattedCitation":"&lt;sup&gt;18&lt;/sup&gt;","plainTextFormattedCitation":"18","previouslyFormattedCitation":"&lt;sup&gt;18&lt;/sup&gt;"},"properties":{"noteIndex":0},"schema":"https://github.com/citation-style-language/schema/raw/master/csl-citation.json"}</w:instrText>
      </w:r>
      <w:r w:rsidR="0027310F"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18</w:t>
      </w:r>
      <w:r w:rsidR="0027310F"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88352F" w:rsidRPr="00882180">
        <w:rPr>
          <w:rFonts w:ascii="Times New Roman" w:hAnsi="Times New Roman" w:cs="Times New Roman"/>
          <w:sz w:val="24"/>
          <w:szCs w:val="24"/>
        </w:rPr>
        <w:t>Nonostante questo,</w:t>
      </w:r>
      <w:r w:rsidRPr="00882180">
        <w:rPr>
          <w:rFonts w:ascii="Times New Roman" w:hAnsi="Times New Roman" w:cs="Times New Roman"/>
          <w:sz w:val="24"/>
          <w:szCs w:val="24"/>
        </w:rPr>
        <w:t xml:space="preserve"> i parametri infiammatori (VES e PCR) non sembrano variare in maniera significativa fra i soggetti che sviluppano perdita della vista e quelli in cui </w:t>
      </w:r>
      <w:r w:rsidR="004811BC" w:rsidRPr="00882180">
        <w:rPr>
          <w:rFonts w:ascii="Times New Roman" w:hAnsi="Times New Roman" w:cs="Times New Roman"/>
          <w:sz w:val="24"/>
          <w:szCs w:val="24"/>
        </w:rPr>
        <w:t xml:space="preserve">ciò </w:t>
      </w:r>
      <w:r w:rsidRPr="00882180">
        <w:rPr>
          <w:rFonts w:ascii="Times New Roman" w:hAnsi="Times New Roman" w:cs="Times New Roman"/>
          <w:sz w:val="24"/>
          <w:szCs w:val="24"/>
        </w:rPr>
        <w:t>non avviene</w:t>
      </w:r>
      <w:r w:rsidR="0027310F" w:rsidRPr="00882180">
        <w:rPr>
          <w:rFonts w:ascii="Times New Roman" w:hAnsi="Times New Roman" w:cs="Times New Roman"/>
          <w:sz w:val="24"/>
          <w:szCs w:val="24"/>
        </w:rPr>
        <w:t xml:space="preserve"> </w:t>
      </w:r>
      <w:r w:rsidR="0027310F"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{"citationItems":[{"id":"ITEM-1","itemData":{"DOI":"10.1097/01.md.0000119761.27564.c9","ISSN":"00257974","abstract":"Cranial ischemic complications (CICs) are among the presenting manifestations of giant cell arteritis (GCA). Yet patients with GCA may develop CICs at a later stage, despite steroid therapy. In the current report we delineate risk factors for CICs, both at presentation and during follow-up, and review the relevant literature. We reviewed charts of 175 patients with GCA. Follow-up data were available for 166 patients. CICs at presentation or developing within 2 weeks of GCA diagnosis were considered GCA related. CICs developing later were considered GCA related only when associated with other GCA-related manifestations or acute-phase reactions. Associations between CICs and other variables were tested by multivariate analysis. At presentation, 43 patients (24.6%) had CICs. Risk factors were transient cerebro-ophthalmic ischemic episodes (COIEs) (odds ratio [OR] 4.3) and male sex (OR 2.5), while the presence of systemic symptoms was \"protective\" (OR 0.3). During follow-up 8.4% of patients with GCA developed new CICs. Risk factors in these cases were previous CICs at presentation (OR 5.6) and transient COIEs developing during follow-up (OR 14.8). The use of low-dose aspirin was protective (OR 0.2). These data, together with data from the literature review, suggest that GCA patients with transient COIEs and without fever or other systemic symptoms are at increased risk of presenting with CICs. Risk factors for late-developing CICs were CICs at presentation and late-developing transient COIEs.","author":[{"dropping-particle":"","family":"Nesher","given":"Gideon","non-dropping-particle":"","parse-names":false,"suffix":""},{"dropping-particle":"","family":"Berkun","given":"Yaakov","non-dropping-particle":"","parse-names":false,"suffix":""},{"dropping-particle":"","family":"Mates","given":"Michal","non-dropping-particle":"","parse-names":false,"suffix":""},{"dropping-particle":"","family":"Baras","given":"Mario","non-dropping-particle":"","parse-names":false,"suffix":""},{"dropping-particle":"","family":"Nesher","given":"Ronit","non-dropping-particle":"","parse-names":false,"suffix":""},{"dropping-particle":"","family":"Rubinow","given":"Alan","non-dropping-particle":"","parse-names":false,"suffix":""},{"dropping-particle":"","family":"Sonnenblick","given":"Moshe","non-dropping-particle":"","parse-names":false,"suffix":""}],"container-title":"Medicine","id":"ITEM-1","issue":"2","issued":{"date-parts":[["2004"]]},"page":"114-122","title":"Risk Factors for Cranial Ischemic Complications in Giant Cell Arteritis","type":"article-journal","volume":"83"},"uris":["http://www.mendeley.com/documents/?uuid=7dc0dcd5-5899-4c98-b40f-181cd639a889"]}],"mendeley":{"formattedCitation":"&lt;sup&gt;14&lt;/sup&gt;","plainTextFormattedCitation":"14","previouslyFormattedCitation":"&lt;sup&gt;14&lt;/sup&gt;"},"properties":{"noteIndex":0},"schema":"https://github.com/citation-style-language/schema/raw/master/csl-citation.json"}</w:instrText>
      </w:r>
      <w:r w:rsidR="0027310F"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14</w:t>
      </w:r>
      <w:r w:rsidR="0027310F" w:rsidRPr="00882180">
        <w:rPr>
          <w:rFonts w:ascii="Times New Roman" w:hAnsi="Times New Roman" w:cs="Times New Roman"/>
          <w:sz w:val="24"/>
          <w:szCs w:val="24"/>
        </w:rPr>
        <w:fldChar w:fldCharType="end"/>
      </w:r>
      <w:r w:rsidR="0027310F" w:rsidRPr="00882180">
        <w:rPr>
          <w:rFonts w:ascii="Times New Roman" w:hAnsi="Times New Roman" w:cs="Times New Roman"/>
          <w:sz w:val="24"/>
          <w:szCs w:val="24"/>
        </w:rPr>
        <w:t xml:space="preserve"> </w:t>
      </w:r>
      <w:r w:rsidR="0027310F"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{"citationItems":[{"id":"ITEM-1","itemData":{"DOI":"10.1002/1529-0131(199808)41:8&lt;1497::AID-ART22&gt;3.0.CO;2-Z","ISSN":"00043591","abstract":"Objective. To assess the features and therapeutic response of visual manifestations and cerebrovascular accidents (CVA) in giant cell (temporal) arteritis (GCA) and to identify the predictors for permanent visual loss (VL) and CVA in GCA. Methods: Two hundred thirty-nine patients with biopsy-proven GCA were included in a retrospective multicenter study. Data on demographic, clinical, and laboratory features were collected. The predictors were identified by a forward stepwise nonconditional logistic regression analysis. Results. Visual involvement was observed in 69 patients, and 34 had permanent VL. The diagnostic delay since the onset of visual symptoms was longer in the 11 patients with bilateral VL. The interval to involvement of the second eye was 5 days. The predictors of permanent VL were transient VL, jaw claudication, normal levels of liver enzymes, and absence of constitutional syndrome. Partial improvement of visual acuity was observed in 8 patients. After adjustment for the treatment regimen (intravenous pulse methylprednisolone versus oral prednisone), early treatment (within the first day of VL) was the only predictor of improvement. CVA, observed in 8 patients, involved the vertebral-basilar territory in 4. CVA was more frequent in patients with visual symptoms, appearing shortly after VL (median 7 days) and despite appropriate therapy. Predictors of CVA were permanent VL and jaw claudication. Conclusion. In GCA, the risk of permanent VL is increased in patients with transient VL and/or jaw claudication, and decreased in those with elevated liver enzyme levels and/or constitutional syndrome. Partial therapeutic success is more probable if treatment is started within the first day of VL. CVA is more likely in patients with permanent VL and/or jaw claudication, often developing despite appropriate corticosteroid therapy.","author":[{"dropping-particle":"","family":"González-Gay","given":"Miguel A.","non-dropping-particle":"","parse-names":false,"suffix":""},{"dropping-particle":"","family":"Blanco","given":"Ricardo","non-dropping-particle":"","parse-names":false,"suffix":""},{"dropping-particle":"","family":"Rodríguez-Valverde","given":"Vicente","non-dropping-particle":"","parse-names":false,"suffix":""},{"dropping-particle":"","family":"Martínez-Taboada","given":"Victor M.","non-dropping-particle":"","parse-names":false,"suffix":""},{"dropping-particle":"","family":"Delgado-Rodriguez","given":"Miguel","non-dropping-particle":"","parse-names":false,"suffix":""},{"dropping-particle":"","family":"Figueroa","given":"Manuel","non-dropping-particle":"","parse-names":false,"suffix":""},{"dropping-particle":"","family":"Uriarte","given":"Esther","non-dropping-particle":"","parse-names":false,"suffix":""}],"container-title":"Arthritis and Rheumatism","id":"ITEM-1","issue":"8","issued":{"date-parts":[["1998"]]},"page":"1497-1504","title":"Permanent visual loss and cerebrovascular accidents in giant cell arteritis: Predictors and response to treatment","type":"article-journal","volume":"41"},"uris":["http://www.mendeley.com/documents/?uuid=664410da-4542-4e87-8111-3e0157abbdd2"]}],"mendeley":{"formattedCitation":"&lt;sup&gt;18&lt;/sup&gt;","plainTextFormattedCitation":"18","previouslyFormattedCitation":"&lt;sup&gt;18&lt;/sup&gt;"},"properties":{"noteIndex":0},"schema":"https://github.com/citation-style-language/schema/raw/master/csl-citation.json"}</w:instrText>
      </w:r>
      <w:r w:rsidR="0027310F"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18</w:t>
      </w:r>
      <w:r w:rsidR="0027310F"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0C40E6A8"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In uno studio condotto da Salvarani et al sembrano invece correlati con aumentato rischio di sviluppo di perdita della vista l’assenza di sintomi sistemici (febbre) (OR 0,24), età più avanzata alla diagnosi (OR 5</w:t>
      </w:r>
      <w:r w:rsidR="004811BC" w:rsidRPr="00882180">
        <w:rPr>
          <w:rFonts w:ascii="Times New Roman" w:hAnsi="Times New Roman" w:cs="Times New Roman"/>
          <w:sz w:val="24"/>
          <w:szCs w:val="24"/>
        </w:rPr>
        <w:t>,</w:t>
      </w:r>
      <w:r w:rsidRPr="00882180">
        <w:rPr>
          <w:rFonts w:ascii="Times New Roman" w:hAnsi="Times New Roman" w:cs="Times New Roman"/>
          <w:sz w:val="24"/>
          <w:szCs w:val="24"/>
        </w:rPr>
        <w:t xml:space="preserve">60), un’elevata conta piastrinica al momento </w:t>
      </w:r>
      <w:r w:rsidR="00446D46" w:rsidRPr="00882180">
        <w:rPr>
          <w:rFonts w:ascii="Times New Roman" w:hAnsi="Times New Roman" w:cs="Times New Roman"/>
          <w:sz w:val="24"/>
          <w:szCs w:val="24"/>
        </w:rPr>
        <w:t>d</w:t>
      </w:r>
      <w:r w:rsidRPr="00882180">
        <w:rPr>
          <w:rFonts w:ascii="Times New Roman" w:hAnsi="Times New Roman" w:cs="Times New Roman"/>
          <w:sz w:val="24"/>
          <w:szCs w:val="24"/>
        </w:rPr>
        <w:t xml:space="preserve">ella diagnosi (OR 4,99), l’assenza di elevati valori di PCR (OR 0,10), manifestazione di amaurosi fugax (OR 5,17) e claudicatio masticatoria (OR 3,10) </w:t>
      </w:r>
      <w:r w:rsidR="0027310F"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10.1002/art.21075","author":[{"dropping-particle":"","family":"Salvarani","given":"Carlo","non-dropping-particle":"","parse-names":false,"suffix":""},{"dropping-particle":"","family":"Cimino","given":"Luca","non-dropping-particle":"","parse-names":false,"suffix":""},{"dropping-particle":"","family":"Macchioni","given":"Pierluigi","non-dropping-particle":"","parse-names":false,"suffix":""},{"dropping-particle":"","family":"Consonni","given":"Dario","non-dropping-particle":"","parse-names":false,"suffix":""},{"dropping-particle":"","family":"Catanoso","given":"Maria Grazia","non-dropping-particle":"","parse-names":false,"suffix":""},{"dropping-particle":"","family":"Cantini","given":"Fabrizio","non-dropping-particle":"","parse-names":false,"suffix":""},{"dropping-particle":"","family":"Bajocchi","given":"Gianluigi","non-dropping-particle":"","parse-names":false,"suffix":""},{"dropping-particle":"","family":"Catanoso","given":"Maria Grazia","non-dropping-particle":"","parse-names":false,"suffix":""},{"dropping-particle":"","family":"Boiardi","given":"Luigi","non-dropping-particle":"","parse-names":false,"suffix":""},{"dropping-particle":"","family":"Nuova","given":"Maria","non-dropping-particle":"","parse-names":false,"suffix":""},{"dropping-particle":"","family":"Emilia","given":"Reggio","non-dropping-particle":"","parse-names":false,"suffix":""},{"dropping-particle":"","family":"Ospedaliera","given":"Azienda","non-dropping-particle":"","parse-names":false,"suffix":""},{"dropping-particle":"","family":"Clinici","given":"Istituti","non-dropping-particle":"","parse-names":false,"suffix":""},{"dropping-particle":"","family":"Santa","given":"Arcispedale","non-dropping-particle":"","parse-names":false,"suffix":""},{"dropping-particle":"","family":"Nuova","given":"Maria","non-dropping-particle":"","parse-names":false,"suffix":""},{"dropping-particle":"","family":"Ri-","given":"V","non-dropping-particle":"","parse-names":false,"suffix":""},{"dropping-particle":"","family":"Emilia","given":"Reggio","non-dropping-particle":"","parse-names":false,"suffix":""}],"id":"ITEM-1","issue":"2","issued":{"date-parts":[["2005"]]},"page":"293-297","title":"Risk Factors for Visual Loss in an Italian Population-Based Cohort of Patients With Giant Cell Arteritis","type":"article-journal","volume":"53"},"uris":["http://www.mendeley.com/documents/?uuid=6376e7d4-1d04-451f-915e-4579ca6dbb67"]}],"mendeley":{"formattedCitation":"&lt;sup&gt;12&lt;/sup&gt;","plainTextFormattedCitation":"12","previouslyFormattedCitation":"&lt;sup&gt;12&lt;/sup&gt;"},"properties":{"noteIndex":0},"schema":"https://github.com/citation-style-language/schema/raw/master/csl-citation.json"}</w:instrText>
      </w:r>
      <w:r w:rsidR="0027310F"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12</w:t>
      </w:r>
      <w:r w:rsidR="0027310F"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30DD75ED"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Altre manifestazioni più rare possono essere gonfiore del viso, glossite, faringodinia, tosse, acufeni, ipoacusia, sindrome vertiginosa e nel 10% dei casi eventi ischemici cerebrali.</w:t>
      </w:r>
    </w:p>
    <w:p w14:paraId="3B01D619" w14:textId="77777777" w:rsidR="001A08BD" w:rsidRPr="00882180" w:rsidRDefault="001A08BD" w:rsidP="00882180">
      <w:pPr>
        <w:pStyle w:val="Paragrafoelenco"/>
        <w:numPr>
          <w:ilvl w:val="0"/>
          <w:numId w:val="4"/>
        </w:numPr>
        <w:spacing w:after="160" w:line="480" w:lineRule="auto"/>
        <w:rPr>
          <w:rFonts w:ascii="Times New Roman" w:hAnsi="Times New Roman"/>
          <w:i/>
          <w:sz w:val="24"/>
          <w:szCs w:val="24"/>
        </w:rPr>
      </w:pPr>
      <w:r w:rsidRPr="00882180">
        <w:rPr>
          <w:rFonts w:ascii="Times New Roman" w:hAnsi="Times New Roman"/>
          <w:i/>
          <w:sz w:val="24"/>
          <w:szCs w:val="24"/>
        </w:rPr>
        <w:t>Aortite clinicamente manifesta</w:t>
      </w:r>
    </w:p>
    <w:p w14:paraId="507F3E1E"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Variante di AGC con impegno delle arterie ascellari o succlavie, mono- o bilaterale, presente nel 10%-15% dei pazienti. </w:t>
      </w:r>
    </w:p>
    <w:p w14:paraId="3C7EF837"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lastRenderedPageBreak/>
        <w:t>Interessa soggetti intorno ai 65 anni, si manifesta con sindrome dell’arco aortico (polso asimmetrico, claudicatio agli arti superiori, parestesie e, raramente, lesioni necrotiche) e, meno frequentemente, segni dell’arterite cranica. La metà di questi pazienti mostra negatività della biopsia dell’arteria temporale, ma se positiva è tipica l’iperespressione tissutale di IL-2</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6E051E5C"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La malattia può portare alla formazione di un aneurisma aortico, tipicamente a livello toracico, più raro a livello addominale e solo nell’ 1% iliaco o femorale</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556A9B18" w14:textId="77777777" w:rsidR="00F66ECC"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Le complicanze possono essere: rottura del vaso, dissezione aortica e insufficienza valvolare. Eventi ischemici a livello cerebrale ed in particolare lo stroke insorgono soprattutto quando è presente un interessamento vertebro-basilare, ma possono essere una complicanza anche della forma di AGC cranica. Non è chiaro invece se ci sia un aumentato rischio di infarto miocardico</w:t>
      </w:r>
      <w:r w:rsidR="00EB7B67" w:rsidRPr="00882180">
        <w:rPr>
          <w:rFonts w:ascii="Times New Roman" w:hAnsi="Times New Roman" w:cs="Times New Roman"/>
          <w:sz w:val="24"/>
          <w:szCs w:val="24"/>
        </w:rPr>
        <w:t xml:space="preserve"> </w:t>
      </w:r>
      <w:r w:rsidR="0027310F"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{"citationItems":[{"id":"ITEM-1","itemData":{"ISSN":"03002977","abstract":"A systematic literature search was performed to summarise current knowledge on extracranial giant cell arteritis (GCA), i.e. large-artery involvement in patients with or without clinically apparent temporal arteritis (cranial GCA). Extracranial GCA is increasingly recognised, both in patients with cranial GCA and with solitary extracranial GCA, due to increased awareness among physicians and development of modern imaging modalities. The literature on the pathogenesis and histopathology of extracranial GCA is scarce. It is considered to be similar to cranial GCA. Patients with solitary extracranial GCA often present with non-specific signs and symptoms, although vascular manifestations, mostly secondary to stenosis, may occur. Due to the non-specific clinical presentation and low sensitivity of temporal artery biopsies, extracranial GCA is usually diagnosed by imaging. 18F-FDG-PET, MRI, CT angiography and ultrasound are used for this purpose. At present, the optimal diagnostic strategy is undetermined. The choice for a particular modality can be guided by the clinical scenario that raises suspicion of extracranial GCA, in addition to local availability and expertise. Extracranial complications in GCA consist of aortic aneurysm or dissection (mainly the ascending aorta), aortic arch syndrome, arm claudication and posterior stroke (although this is technically a cranial complication, it often results from stenosis of the vertebrobasilar arteries). Mortality is generally not increased in patients with GCA. Treatment of patients with solitary extracranial and those with extracranial and cranial GCA has been debated in the recent literature. In general, the same strategy is applied as in patients with temporal arteritis, although criteria regarding who to treat are unclear. Surgical procedures may be indicated, in which case optimal medical treatment prior to surgery is important.","author":[{"dropping-particle":"","family":"Lensen","given":"K. D.F.","non-dropping-particle":"","parse-names":false,"suffix":""},{"dropping-particle":"","family":"Voskuyl","given":"A. E.","non-dropping-particle":"","parse-names":false,"suffix":""},{"dropping-particle":"","family":"Comans","given":"E. F.I.","non-dropping-particle":"","parse-names":false,"suffix":""},{"dropping-particle":"","family":"Laken","given":"C. J.","non-dropping-particle":"van der","parse-names":false,"suffix":""},{"dropping-particle":"","family":"Smulders","given":"Y. M.","non-dropping-particle":"","parse-names":false,"suffix":""}],"container-title":"Netherlands Journal of Medicine","id":"ITEM-1","issue":"5","issued":{"date-parts":[["2016"]]},"page":"182-192","title":"Extracranial giant cell arteritis: A narrative review","type":"article-journal","volume":"74"},"uris":["http://www.mendeley.com/documents/?uuid=e0f6e6de-296c-4c57-81b1-02a05decd7ea"]}],"mendeley":{"formattedCitation":"&lt;sup&gt;2&lt;/sup&gt;","plainTextFormattedCitation":"2","previouslyFormattedCitation":"&lt;sup&gt;2&lt;/sup&gt;"},"properties":{"noteIndex":0},"schema":"https://github.com/citation-style-language/schema/raw/master/csl-citation.json"}</w:instrText>
      </w:r>
      <w:r w:rsidR="0027310F"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2</w:t>
      </w:r>
      <w:r w:rsidR="0027310F"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75CCC24E" w14:textId="77777777" w:rsidR="00D11A97" w:rsidRPr="00882180" w:rsidRDefault="001A08BD" w:rsidP="00882180">
      <w:pPr>
        <w:pStyle w:val="Paragrafoelenco"/>
        <w:numPr>
          <w:ilvl w:val="0"/>
          <w:numId w:val="4"/>
        </w:numPr>
        <w:spacing w:after="160" w:line="480" w:lineRule="auto"/>
        <w:rPr>
          <w:rFonts w:ascii="Times New Roman" w:hAnsi="Times New Roman"/>
          <w:i/>
          <w:sz w:val="24"/>
          <w:szCs w:val="24"/>
        </w:rPr>
      </w:pPr>
      <w:r w:rsidRPr="00882180">
        <w:rPr>
          <w:rFonts w:ascii="Times New Roman" w:hAnsi="Times New Roman"/>
          <w:i/>
          <w:sz w:val="24"/>
          <w:szCs w:val="24"/>
        </w:rPr>
        <w:t>Sindrome infiammatoria sistemica con arterite</w:t>
      </w:r>
    </w:p>
    <w:p w14:paraId="4B471B54" w14:textId="77777777" w:rsidR="001A08BD" w:rsidRPr="00882180" w:rsidRDefault="001A08BD" w:rsidP="00882180">
      <w:pPr>
        <w:spacing w:after="160" w:line="480" w:lineRule="auto"/>
        <w:rPr>
          <w:rFonts w:ascii="Times New Roman" w:hAnsi="Times New Roman" w:cs="Times New Roman"/>
          <w:i/>
          <w:sz w:val="24"/>
          <w:szCs w:val="24"/>
        </w:rPr>
      </w:pPr>
      <w:r w:rsidRPr="00882180">
        <w:rPr>
          <w:rFonts w:ascii="Times New Roman" w:hAnsi="Times New Roman" w:cs="Times New Roman"/>
          <w:sz w:val="24"/>
          <w:szCs w:val="24"/>
        </w:rPr>
        <w:t>Si presenta con manifestazioni sistemiche legate alla flogosi, presenti in varia misura in tutte le varianti, quali</w:t>
      </w:r>
      <w:r w:rsidRPr="00882180">
        <w:rPr>
          <w:rFonts w:ascii="Times New Roman" w:hAnsi="Times New Roman" w:cs="Times New Roman"/>
          <w:b/>
          <w:sz w:val="24"/>
          <w:szCs w:val="24"/>
        </w:rPr>
        <w:t xml:space="preserve">: </w:t>
      </w:r>
      <w:r w:rsidRPr="00882180">
        <w:rPr>
          <w:rFonts w:ascii="Times New Roman" w:hAnsi="Times New Roman" w:cs="Times New Roman"/>
          <w:sz w:val="24"/>
          <w:szCs w:val="24"/>
        </w:rPr>
        <w:t>scadimento delle condizioni generali, febbre, anoressia, anemia infiammatoria, sudorazione notturna e calo ponderale. In tutti questi casi, in assenza di una spiegazione alternativa, bisogna sospettare la AGC ed eseguire sempre una biopsia dell’arteria temporale</w:t>
      </w:r>
      <w:r w:rsidR="00446D46" w:rsidRPr="00882180">
        <w:rPr>
          <w:rFonts w:ascii="Times New Roman" w:hAnsi="Times New Roman" w:cs="Times New Roman"/>
          <w:sz w:val="24"/>
          <w:szCs w:val="24"/>
        </w:rPr>
        <w:t xml:space="preserve"> o un appropriato esame per immagini</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01F03C10" w14:textId="77777777" w:rsidR="001A08BD" w:rsidRPr="00882180" w:rsidRDefault="001A08BD" w:rsidP="00882180">
      <w:pPr>
        <w:pStyle w:val="Paragrafoelenco"/>
        <w:numPr>
          <w:ilvl w:val="0"/>
          <w:numId w:val="4"/>
        </w:numPr>
        <w:spacing w:after="160" w:line="480" w:lineRule="auto"/>
        <w:rPr>
          <w:rFonts w:ascii="Times New Roman" w:hAnsi="Times New Roman"/>
          <w:i/>
          <w:sz w:val="24"/>
          <w:szCs w:val="24"/>
        </w:rPr>
      </w:pPr>
      <w:r w:rsidRPr="00882180">
        <w:rPr>
          <w:rFonts w:ascii="Times New Roman" w:hAnsi="Times New Roman"/>
          <w:i/>
          <w:sz w:val="24"/>
          <w:szCs w:val="24"/>
        </w:rPr>
        <w:t>In associazione alla PMR</w:t>
      </w:r>
    </w:p>
    <w:p w14:paraId="783CDD6B"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La AGC può associarsi alla PMR in vari modi. La vasculite può infatti precedere, seguire o accompagnare la </w:t>
      </w:r>
      <w:r w:rsidR="009E5105" w:rsidRPr="00882180">
        <w:rPr>
          <w:rFonts w:ascii="Times New Roman" w:hAnsi="Times New Roman" w:cs="Times New Roman"/>
          <w:sz w:val="24"/>
          <w:szCs w:val="24"/>
        </w:rPr>
        <w:t>PMR</w:t>
      </w:r>
      <w:r w:rsidRPr="00882180">
        <w:rPr>
          <w:rFonts w:ascii="Times New Roman" w:hAnsi="Times New Roman" w:cs="Times New Roman"/>
          <w:sz w:val="24"/>
          <w:szCs w:val="24"/>
        </w:rPr>
        <w:t xml:space="preserve"> in quasi la metà dei casi. </w:t>
      </w:r>
      <w:r w:rsidR="009E5105" w:rsidRPr="00882180">
        <w:rPr>
          <w:rFonts w:ascii="Times New Roman" w:hAnsi="Times New Roman" w:cs="Times New Roman"/>
          <w:sz w:val="24"/>
          <w:szCs w:val="24"/>
        </w:rPr>
        <w:t>Numerosi s</w:t>
      </w:r>
      <w:r w:rsidRPr="00882180">
        <w:rPr>
          <w:rFonts w:ascii="Times New Roman" w:hAnsi="Times New Roman" w:cs="Times New Roman"/>
          <w:sz w:val="24"/>
          <w:szCs w:val="24"/>
        </w:rPr>
        <w:t xml:space="preserve">tudi hanno </w:t>
      </w:r>
      <w:r w:rsidRPr="00882180">
        <w:rPr>
          <w:rFonts w:ascii="Times New Roman" w:hAnsi="Times New Roman" w:cs="Times New Roman"/>
          <w:sz w:val="24"/>
          <w:szCs w:val="24"/>
        </w:rPr>
        <w:lastRenderedPageBreak/>
        <w:t>riscontrato che il 16-21% di pazienti con PMR sviluppa AGC e il 40-60% dei pazienti con arterite di Horton sviluppa PMR</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p>
    <w:p w14:paraId="52074723" w14:textId="77777777" w:rsidR="00134692"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Queste due patologie sono strettamente connesse</w:t>
      </w:r>
      <w:r w:rsidR="009E5105" w:rsidRPr="00882180">
        <w:rPr>
          <w:rFonts w:ascii="Times New Roman" w:hAnsi="Times New Roman" w:cs="Times New Roman"/>
          <w:sz w:val="24"/>
          <w:szCs w:val="24"/>
        </w:rPr>
        <w:t xml:space="preserve"> ed</w:t>
      </w:r>
      <w:r w:rsidRPr="00882180">
        <w:rPr>
          <w:rFonts w:ascii="Times New Roman" w:hAnsi="Times New Roman" w:cs="Times New Roman"/>
          <w:sz w:val="24"/>
          <w:szCs w:val="24"/>
        </w:rPr>
        <w:t xml:space="preserve"> infatti</w:t>
      </w:r>
      <w:r w:rsidR="009E5105" w:rsidRPr="00882180">
        <w:rPr>
          <w:rFonts w:ascii="Times New Roman" w:hAnsi="Times New Roman" w:cs="Times New Roman"/>
          <w:sz w:val="24"/>
          <w:szCs w:val="24"/>
        </w:rPr>
        <w:t xml:space="preserve"> solo</w:t>
      </w:r>
      <w:r w:rsidRPr="00882180">
        <w:rPr>
          <w:rFonts w:ascii="Times New Roman" w:hAnsi="Times New Roman" w:cs="Times New Roman"/>
          <w:sz w:val="24"/>
          <w:szCs w:val="24"/>
        </w:rPr>
        <w:t xml:space="preserve"> il diverso profilo citochinico potrebbe spiegare come a trigger simili possano seguire PMR, con maggiori livelli di IL-2 e IL-6, o AGC, con maggiori livelli di INFɣ e TGFβ1 (senza alti livelli di interferone infatti sembrerebbe non manifestarsi l’arterite) </w:t>
      </w:r>
      <w:r w:rsidR="0027310F"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{"citationItems":[{"id":"ITEM-1","itemData":{"DOI":"10.1056/NEJMra011913","ISBN":"1539-3704 (Electronic)","ISSN":"0028-4793","PMID":"12140303","author":[{"dropping-particle":"","family":"Salvarani","given":"Carlo","non-dropping-particle":"","parse-names":false,"suffix":""},{"dropping-particle":"","family":"Cantini","given":"Fabrizio","non-dropping-particle":"","parse-names":false,"suffix":""},{"dropping-particle":"","family":"Boiardi","given":"Luigi","non-dropping-particle":"","parse-names":false,"suffix":""},{"dropping-particle":"","family":"Hunder","given":"Gene G.","non-dropping-particle":"","parse-names":false,"suffix":""}],"container-title":"New England Journal of Medicine","id":"ITEM-1","issue":"4","issued":{"date-parts":[["2002"]]},"page":"261-271","title":"Polymyalgia Rheumatica and Giant-Cell Arteritis","type":"article-journal","volume":"347"},"uris":["http://www.mendeley.com/documents/?uuid=c200818a-944c-496a-8ee9-f1f80b600636"]}],"mendeley":{"formattedCitation":"&lt;sup&gt;19&lt;/sup&gt;","plainTextFormattedCitation":"19","previouslyFormattedCitation":"&lt;sup&gt;19&lt;/sup&gt;"},"properties":{"noteIndex":0},"schema":"https://github.com/citation-style-language/schema/raw/master/csl-citation.json"}</w:instrText>
      </w:r>
      <w:r w:rsidR="0027310F"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19</w:t>
      </w:r>
      <w:r w:rsidR="0027310F"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o entrambe le patologie </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11</w:t>
      </w:r>
      <w:r w:rsidR="0013469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7C40DE75"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Per spiegare l’associazione fra queste due patologie sono stati proposti anche fattori genetici, cambiamenti età</w:t>
      </w:r>
      <w:r w:rsidR="009E5105" w:rsidRPr="00882180">
        <w:rPr>
          <w:rFonts w:ascii="Times New Roman" w:hAnsi="Times New Roman" w:cs="Times New Roman"/>
          <w:sz w:val="24"/>
          <w:szCs w:val="24"/>
        </w:rPr>
        <w:t>-</w:t>
      </w:r>
      <w:r w:rsidRPr="00882180">
        <w:rPr>
          <w:rFonts w:ascii="Times New Roman" w:hAnsi="Times New Roman" w:cs="Times New Roman"/>
          <w:sz w:val="24"/>
          <w:szCs w:val="24"/>
        </w:rPr>
        <w:t>correlati del sistema immunitario e ipotizzati fattori direttamente correlati al tessuto vascolare che attivati da fattori esogeni od endogeni potrebbero scatenerebbero la risposta infiammatoria</w:t>
      </w:r>
      <w:r w:rsidR="00134692" w:rsidRPr="00882180">
        <w:rPr>
          <w:rFonts w:ascii="Times New Roman" w:hAnsi="Times New Roman" w:cs="Times New Roman"/>
          <w:sz w:val="24"/>
          <w:szCs w:val="24"/>
        </w:rPr>
        <w:t xml:space="preserve">. </w:t>
      </w:r>
      <w:r w:rsidRPr="00882180">
        <w:rPr>
          <w:rFonts w:ascii="Times New Roman" w:hAnsi="Times New Roman" w:cs="Times New Roman"/>
          <w:sz w:val="24"/>
          <w:szCs w:val="24"/>
        </w:rPr>
        <w:t xml:space="preserve">Le due patologie condividono inoltre alcune anormalità presenti nel sangue periferico come un aumentato numero di lnfociti T senescenti, un ridotto numero di linfociti Treg, un aumentato numero di linfociti Th 17 e una diminuzione dei linfociti B, anormalità che si normalizzano dopo l’introduzione della terapia con GC </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11</w:t>
      </w:r>
      <w:r w:rsidR="0013469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5FA3190D"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Nei soggetti affetti da </w:t>
      </w:r>
      <w:r w:rsidR="009E5105" w:rsidRPr="00882180">
        <w:rPr>
          <w:rFonts w:ascii="Times New Roman" w:hAnsi="Times New Roman" w:cs="Times New Roman"/>
          <w:sz w:val="24"/>
          <w:szCs w:val="24"/>
        </w:rPr>
        <w:t>PMR</w:t>
      </w:r>
      <w:r w:rsidRPr="00882180">
        <w:rPr>
          <w:rFonts w:ascii="Times New Roman" w:hAnsi="Times New Roman" w:cs="Times New Roman"/>
          <w:sz w:val="24"/>
          <w:szCs w:val="24"/>
        </w:rPr>
        <w:t xml:space="preserve"> prima delle manifestazioni di AGC, la vasculite si può manifestare in totale assenza di clinica oppure presentar</w:t>
      </w:r>
      <w:r w:rsidR="009E5105" w:rsidRPr="00882180">
        <w:rPr>
          <w:rFonts w:ascii="Times New Roman" w:hAnsi="Times New Roman" w:cs="Times New Roman"/>
          <w:sz w:val="24"/>
          <w:szCs w:val="24"/>
        </w:rPr>
        <w:t>si</w:t>
      </w:r>
      <w:r w:rsidRPr="00882180">
        <w:rPr>
          <w:rFonts w:ascii="Times New Roman" w:hAnsi="Times New Roman" w:cs="Times New Roman"/>
          <w:sz w:val="24"/>
          <w:szCs w:val="24"/>
        </w:rPr>
        <w:t xml:space="preserve"> con combinazioni di sintomi quali mal di testa e fastidio al cuoio capelluto, mal di testa e sdoppiamento della vista o altri disturbi della visione, claudicatio masticatoria e fastidio al cuoio capelluto</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10.1186/s41927-017-0007-2","author":[{"dropping-particle":"","family":"Masson","given":"William","non-dropping-particle":"","parse-names":false,"suffix":""},{"dropping-particle":"","family":"Mallen","given":"Christian","non-dropping-particle":"","parse-names":false,"suffix":""},{"dropping-particle":"","family":"Helliwell","given":"Toby","non-dropping-particle":"","parse-names":false,"suffix":""},{"dropping-particle":"","family":"Prior","given":"James","non-dropping-particle":"","parse-names":false,"suffix":""},{"dropping-particle":"","family":"Muller","given":"Sara","non-dropping-particle":"","parse-names":false,"suffix":""},{"dropping-particle":"","family":"Hider","given":"Samantha L.","non-dropping-particle":"","parse-names":false,"suffix":""},{"dropping-particle":"","family":"Whittle","given":"Rebecca","non-dropping-particle":"","parse-names":false,"suffix":""}],"container-title":"BMC Rheumatology","id":"ITEM-1","issue":"1","issued":{"date-parts":[["2017"]]},"page":"1-5","publisher":"BMC Rheumatology","title":"Possible giant cell arteritis symptoms are common in newly diagnosed patients with Polymyalgia Rheumatica: results from an incident primary care PMR cohort","type":"article-journal","volume":"1"},"uris":["http://www.mendeley.com/documents/?uuid=c4110b5b-4611-41dc-8faf-5464c7f14cca"]}],"mendeley":{"formattedCitation":"&lt;sup&gt;20&lt;/sup&gt;","plainTextFormattedCitation":"20","previouslyFormattedCitation":"&lt;sup&gt;20&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20</w:t>
      </w:r>
      <w:r w:rsidR="00134692"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p>
    <w:p w14:paraId="0F04ECF4"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Inoltre, in un recente studio, Salvarani et al. hanno osservato una correlazione fra la coesistenza di PMR alla diagnosi di AGC e forme più benigne della vasculite </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{"citationItems":[{"id":"ITEM-1","itemData":{"DOI":"10.1093/rheumatology/key325","ISSN":"1462-0324","PMID":"30517710","abstract":"Objective: To evaluate the influence of disease-related findings and treatment outcomes on survival in a population-based cohort of Northern Italian patients with GCA. Methods: A total of 281 patients with incident temporal artery biopsy (TAB)-proven GCA, diagnosed over a 26-year period (1986-2012) and living in the Reggio Emilia area, were retrospectively evaluated. We analysed clinical, imaging and laboratory findings at diagnosis, pathological patterns of TAB, CS treatment and therapeutic outcomes, and traditional cardiovascular risk factors as factors predictive of survival. Results: Univariate analysis showed that increased mortality was associated with large vessel involvement at diagnosis [hazard ratio (HR) 5.84], while reduced mortality was associated with female sex (HR 0.66), PMR (HR 0.54), higher haemoglobin levels (HR 0.84) at diagnosis, long-term remission (HR 0.47) and inflammation limited to adventitia or to the adventitial vasa vasorum (HR 0.48) at TAB examination. Multivariate analysis confirmed the association between increased mortality and large vessel involvement (HR 5.14) at diagnosis, between reduced mortality and PMR (HR 0.57) at diagnosis and adventitial inflammation (HR 0.31) at TAB. Conclusion: PMR at diagnosis and inflammation limited to the adventitia at TAB appear to identify subsets of patients with more benign disease, while large vessel involvement at diagnosis is associated with reduced survival.","author":[{"dropping-particle":"","family":"Macchioni","given":"Pierluigi","non-dropping-particle":"","parse-names":false,"suffix":""},{"dropping-particle":"","family":"Giorgi Rossi","given":"Paolo","non-dropping-particle":"","parse-names":false,"suffix":""},{"dropping-particle":"","family":"Salvarani","given":"Carlo","non-dropping-particle":"","parse-names":false,"suffix":""},{"dropping-particle":"","family":"Catanoso","given":"Mariagrazia","non-dropping-particle":"","parse-names":false,"suffix":""},{"dropping-particle":"","family":"Luberto","given":"Ferdinando","non-dropping-particle":"","parse-names":false,"suffix":""},{"dropping-particle":"","family":"Muratore","given":"Francesco","non-dropping-particle":"","parse-names":false,"suffix":""},{"dropping-particle":"","family":"Pipitone","given":"Nicolò","non-dropping-particle":"","parse-names":false,"suffix":""},{"dropping-particle":"","family":"Boiardi","given":"Luigi","non-dropping-particle":"","parse-names":false,"suffix":""},{"dropping-particle":"","family":"Mancuso","given":"Pamela","non-dropping-particle":"","parse-names":false,"suffix":""},{"dropping-particle":"","family":"Restuccia","given":"Giovanna","non-dropping-particle":"","parse-names":false,"suffix":""},{"dropping-particle":"","family":"Cavazza","given":"Alberto","non-dropping-particle":"","parse-names":false,"suffix":""}],"container-title":"Rheumatology","id":"ITEM-1","issue":"December 2018","issued":{"date-parts":[["2018"]]},"page":"609-616","title":"Survival predictors in biopsy-proven giant cell arteritis: a northern Italian population-based study","type":"article-journal"},"uris":["http://www.mendeley.com/documents/?uuid=be513fae-3f81-4697-aeb6-6982309a35b3"]}],"mendeley":{"formattedCitation":"&lt;sup&gt;21&lt;/sup&gt;","plainTextFormattedCitation":"21","previouslyFormattedCitation":"&lt;sup&gt;21&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21</w:t>
      </w:r>
      <w:r w:rsidR="0013469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4B030F54"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lastRenderedPageBreak/>
        <w:t>Altre possibili</w:t>
      </w:r>
      <w:r w:rsidR="009E5105" w:rsidRPr="00882180">
        <w:rPr>
          <w:rFonts w:ascii="Times New Roman" w:hAnsi="Times New Roman" w:cs="Times New Roman"/>
          <w:sz w:val="24"/>
          <w:szCs w:val="24"/>
        </w:rPr>
        <w:t>, seppur rare,</w:t>
      </w:r>
      <w:r w:rsidRPr="00882180">
        <w:rPr>
          <w:rFonts w:ascii="Times New Roman" w:hAnsi="Times New Roman" w:cs="Times New Roman"/>
          <w:sz w:val="24"/>
          <w:szCs w:val="24"/>
        </w:rPr>
        <w:t xml:space="preserve"> manifestazioni presenti in tutte le varianti sono neuropatia periferica, sintomi respiratori (tosse), masse simil tumorali su base vasculitica in mammella, utero ed ovaio</w:t>
      </w:r>
      <w:r w:rsidR="009E5105" w:rsidRPr="00882180">
        <w:rPr>
          <w:rFonts w:ascii="Times New Roman" w:hAnsi="Times New Roman" w:cs="Times New Roman"/>
          <w:sz w:val="24"/>
          <w:szCs w:val="24"/>
        </w:rPr>
        <w:t>.</w:t>
      </w:r>
      <w:r w:rsidRPr="00882180">
        <w:rPr>
          <w:rFonts w:ascii="Times New Roman" w:hAnsi="Times New Roman" w:cs="Times New Roman"/>
          <w:sz w:val="24"/>
          <w:szCs w:val="24"/>
        </w:rPr>
        <w:t xml:space="preserve"> </w:t>
      </w:r>
      <w:r w:rsidR="009E5105" w:rsidRPr="00882180">
        <w:rPr>
          <w:rFonts w:ascii="Times New Roman" w:hAnsi="Times New Roman" w:cs="Times New Roman"/>
          <w:sz w:val="24"/>
          <w:szCs w:val="24"/>
        </w:rPr>
        <w:t>È</w:t>
      </w:r>
      <w:r w:rsidRPr="00882180">
        <w:rPr>
          <w:rFonts w:ascii="Times New Roman" w:hAnsi="Times New Roman" w:cs="Times New Roman"/>
          <w:sz w:val="24"/>
          <w:szCs w:val="24"/>
        </w:rPr>
        <w:t xml:space="preserve"> possibile inoltre il sovrapporsi di un’altra vasculite primaria, definendo così un quadro di poliangioite da overlap e lo sviluppo di un coinvolgimento aortico clinicamente significativo anche dopo aver completato </w:t>
      </w:r>
      <w:r w:rsidR="009E5105" w:rsidRPr="00882180">
        <w:rPr>
          <w:rFonts w:ascii="Times New Roman" w:hAnsi="Times New Roman" w:cs="Times New Roman"/>
          <w:sz w:val="24"/>
          <w:szCs w:val="24"/>
        </w:rPr>
        <w:t xml:space="preserve">una </w:t>
      </w:r>
      <w:r w:rsidRPr="00882180">
        <w:rPr>
          <w:rFonts w:ascii="Times New Roman" w:hAnsi="Times New Roman" w:cs="Times New Roman"/>
          <w:sz w:val="24"/>
          <w:szCs w:val="24"/>
        </w:rPr>
        <w:t>terapia</w:t>
      </w:r>
      <w:r w:rsidR="009E5105" w:rsidRPr="00882180">
        <w:rPr>
          <w:rFonts w:ascii="Times New Roman" w:hAnsi="Times New Roman" w:cs="Times New Roman"/>
          <w:sz w:val="24"/>
          <w:szCs w:val="24"/>
        </w:rPr>
        <w:t xml:space="preserve"> apparentemente efficace</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4F6FD651"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La mortalità della patologia varia a seconda della forma da cui sono affetti i soggetti. I pazienti che presentano all’esordio un importante coinvolgimento aortico hanno un</w:t>
      </w:r>
      <w:r w:rsidR="009E5105" w:rsidRPr="00882180">
        <w:rPr>
          <w:rFonts w:ascii="Times New Roman" w:hAnsi="Times New Roman" w:cs="Times New Roman"/>
          <w:sz w:val="24"/>
          <w:szCs w:val="24"/>
        </w:rPr>
        <w:t>a</w:t>
      </w:r>
      <w:r w:rsidRPr="00882180">
        <w:rPr>
          <w:rFonts w:ascii="Times New Roman" w:hAnsi="Times New Roman" w:cs="Times New Roman"/>
          <w:sz w:val="24"/>
          <w:szCs w:val="24"/>
        </w:rPr>
        <w:t xml:space="preserve"> mortalità superiore (44-80%) indipendentemente dal fatto che abbiano avuto o meno un precedente interessamento extracranico. La mortalità aumenta sensibilmente nei pazienti con dissezione aortica o aneurisma (95%), nonostante questo aumento non si sia osservato invece in pazienti che abbiano sviluppato altre complicazioni dei grossi vasi. A sostegno di ciò</w:t>
      </w:r>
      <w:r w:rsidR="009E5105" w:rsidRPr="00882180">
        <w:rPr>
          <w:rFonts w:ascii="Times New Roman" w:hAnsi="Times New Roman" w:cs="Times New Roman"/>
          <w:sz w:val="24"/>
          <w:szCs w:val="24"/>
        </w:rPr>
        <w:t xml:space="preserve">, </w:t>
      </w:r>
      <w:r w:rsidRPr="00882180">
        <w:rPr>
          <w:rFonts w:ascii="Times New Roman" w:hAnsi="Times New Roman" w:cs="Times New Roman"/>
          <w:sz w:val="24"/>
          <w:szCs w:val="24"/>
        </w:rPr>
        <w:t>uno studio retrospettivo ha dimostrato che i pazienti con forme di AGC extracranica (aortite clinicamente manifesta) sviluppano più cause di morte di origine vascolare e più eventi vascolari (stroke) dei pazienti con AGC senza interessamento aortico. Inoltre, la mortalità per ischemia cardiaca è maggiore nei soggetti che presentino anche AGC, rispetto ai soggetti affetti da patologia cardiaca senza la copresenza di AG</w:t>
      </w:r>
      <w:r w:rsidR="00134692" w:rsidRPr="00882180">
        <w:rPr>
          <w:rFonts w:ascii="Times New Roman" w:hAnsi="Times New Roman" w:cs="Times New Roman"/>
          <w:sz w:val="24"/>
          <w:szCs w:val="24"/>
        </w:rPr>
        <w:t>C</w:t>
      </w:r>
      <w:r w:rsidRPr="00882180">
        <w:rPr>
          <w:rFonts w:ascii="Times New Roman" w:hAnsi="Times New Roman" w:cs="Times New Roman"/>
          <w:sz w:val="24"/>
          <w:szCs w:val="24"/>
        </w:rPr>
        <w:t xml:space="preserve"> </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{"citationItems":[{"id":"ITEM-1","itemData":{"ISSN":"03002977","abstract":"A systematic literature search was performed to summarise current knowledge on extracranial giant cell arteritis (GCA), i.e. large-artery involvement in patients with or without clinically apparent temporal arteritis (cranial GCA). Extracranial GCA is increasingly recognised, both in patients with cranial GCA and with solitary extracranial GCA, due to increased awareness among physicians and development of modern imaging modalities. The literature on the pathogenesis and histopathology of extracranial GCA is scarce. It is considered to be similar to cranial GCA. Patients with solitary extracranial GCA often present with non-specific signs and symptoms, although vascular manifestations, mostly secondary to stenosis, may occur. Due to the non-specific clinical presentation and low sensitivity of temporal artery biopsies, extracranial GCA is usually diagnosed by imaging. 18F-FDG-PET, MRI, CT angiography and ultrasound are used for this purpose. At present, the optimal diagnostic strategy is undetermined. The choice for a particular modality can be guided by the clinical scenario that raises suspicion of extracranial GCA, in addition to local availability and expertise. Extracranial complications in GCA consist of aortic aneurysm or dissection (mainly the ascending aorta), aortic arch syndrome, arm claudication and posterior stroke (although this is technically a cranial complication, it often results from stenosis of the vertebrobasilar arteries). Mortality is generally not increased in patients with GCA. Treatment of patients with solitary extracranial and those with extracranial and cranial GCA has been debated in the recent literature. In general, the same strategy is applied as in patients with temporal arteritis, although criteria regarding who to treat are unclear. Surgical procedures may be indicated, in which case optimal medical treatment prior to surgery is important.","author":[{"dropping-particle":"","family":"Lensen","given":"K. D.F.","non-dropping-particle":"","parse-names":false,"suffix":""},{"dropping-particle":"","family":"Voskuyl","given":"A. E.","non-dropping-particle":"","parse-names":false,"suffix":""},{"dropping-particle":"","family":"Comans","given":"E. F.I.","non-dropping-particle":"","parse-names":false,"suffix":""},{"dropping-particle":"","family":"Laken","given":"C. J.","non-dropping-particle":"van der","parse-names":false,"suffix":""},{"dropping-particle":"","family":"Smulders","given":"Y. M.","non-dropping-particle":"","parse-names":false,"suffix":""}],"container-title":"Netherlands Journal of Medicine","id":"ITEM-1","issue":"5","issued":{"date-parts":[["2016"]]},"page":"182-192","title":"Extracranial giant cell arteritis: A narrative review","type":"article-journal","volume":"74"},"uris":["http://www.mendeley.com/documents/?uuid=e0f6e6de-296c-4c57-81b1-02a05decd7ea"]}],"mendeley":{"formattedCitation":"&lt;sup&gt;2&lt;/sup&gt;","plainTextFormattedCitation":"2","previouslyFormattedCitation":"&lt;sup&gt;2&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2</w:t>
      </w:r>
      <w:r w:rsidR="0013469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107DC23D"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Nei soggetti con lunghi periodi di remissione della malattia, associazione con PMR ed infiammazione limitata alla sola avventizia/vasa vasorum, si riscontra un</w:t>
      </w:r>
      <w:r w:rsidR="009E5105" w:rsidRPr="00882180">
        <w:rPr>
          <w:rFonts w:ascii="Times New Roman" w:hAnsi="Times New Roman" w:cs="Times New Roman"/>
          <w:sz w:val="24"/>
          <w:szCs w:val="24"/>
        </w:rPr>
        <w:t>a mortalità</w:t>
      </w:r>
      <w:r w:rsidRPr="00882180">
        <w:rPr>
          <w:rFonts w:ascii="Times New Roman" w:hAnsi="Times New Roman" w:cs="Times New Roman"/>
          <w:sz w:val="24"/>
          <w:szCs w:val="24"/>
        </w:rPr>
        <w:t xml:space="preserve"> </w:t>
      </w:r>
      <w:r w:rsidR="009E5105" w:rsidRPr="00882180">
        <w:rPr>
          <w:rFonts w:ascii="Times New Roman" w:hAnsi="Times New Roman" w:cs="Times New Roman"/>
          <w:sz w:val="24"/>
          <w:szCs w:val="24"/>
        </w:rPr>
        <w:t>inferiore</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{"citationItems":[{"id":"ITEM-1","itemData":{"DOI":"10.1093/rheumatology/key325","ISSN":"1462-0324","PMID":"30517710","abstract":"Objective: To evaluate the influence of disease-related findings and treatment outcomes on survival in a population-based cohort of Northern Italian patients with GCA. Methods: A total of 281 patients with incident temporal artery biopsy (TAB)-proven GCA, diagnosed over a 26-year period (1986-2012) and living in the Reggio Emilia area, were retrospectively evaluated. We analysed clinical, imaging and laboratory findings at diagnosis, pathological patterns of TAB, CS treatment and therapeutic outcomes, and traditional cardiovascular risk factors as factors predictive of survival. Results: Univariate analysis showed that increased mortality was associated with large vessel involvement at diagnosis [hazard ratio (HR) 5.84], while reduced mortality was associated with female sex (HR 0.66), PMR (HR 0.54), higher haemoglobin levels (HR 0.84) at diagnosis, long-term remission (HR 0.47) and inflammation limited to adventitia or to the adventitial vasa vasorum (HR 0.48) at TAB examination. Multivariate analysis confirmed the association between increased mortality and large vessel involvement (HR 5.14) at diagnosis, between reduced mortality and PMR (HR 0.57) at diagnosis and adventitial inflammation (HR 0.31) at TAB. Conclusion: PMR at diagnosis and inflammation limited to the adventitia at TAB appear to identify subsets of patients with more benign disease, while large vessel involvement at diagnosis is associated with reduced survival.","author":[{"dropping-particle":"","family":"Macchioni","given":"Pierluigi","non-dropping-particle":"","parse-names":false,"suffix":""},{"dropping-particle":"","family":"Giorgi Rossi","given":"Paolo","non-dropping-particle":"","parse-names":false,"suffix":""},{"dropping-particle":"","family":"Salvarani","given":"Carlo","non-dropping-particle":"","parse-names":false,"suffix":""},{"dropping-particle":"","family":"Catanoso","given":"Mariagrazia","non-dropping-particle":"","parse-names":false,"suffix":""},{"dropping-particle":"","family":"Luberto","given":"Ferdinando","non-dropping-particle":"","parse-names":false,"suffix":""},{"dropping-particle":"","family":"Muratore","given":"Francesco","non-dropping-particle":"","parse-names":false,"suffix":""},{"dropping-particle":"","family":"Pipitone","given":"Nicolò","non-dropping-particle":"","parse-names":false,"suffix":""},{"dropping-particle":"","family":"Boiardi","given":"Luigi","non-dropping-particle":"","parse-names":false,"suffix":""},{"dropping-particle":"","family":"Mancuso","given":"Pamela","non-dropping-particle":"","parse-names":false,"suffix":""},{"dropping-particle":"","family":"Restuccia","given":"Giovanna","non-dropping-particle":"","parse-names":false,"suffix":""},{"dropping-particle":"","family":"Cavazza","given":"Alberto","non-dropping-particle":"","parse-names":false,"suffix":""}],"container-title":"Rheumatology","id":"ITEM-1","issue":"December 2018","issued":{"date-parts":[["2018"]]},"page":"609-616","title":"Survival predictors in biopsy-proven giant cell arteritis: a northern Italian population-based study","type":"article-journal"},"uris":["http://www.mendeley.com/documents/?uuid=be513fae-3f81-4697-aeb6-6982309a35b3"]}],"mendeley":{"formattedCitation":"&lt;sup&gt;21&lt;/sup&gt;","plainTextFormattedCitation":"21","previouslyFormattedCitation":"&lt;sup&gt;21&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21</w:t>
      </w:r>
      <w:r w:rsidR="0013469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43914559" w14:textId="77777777" w:rsidR="001A08BD" w:rsidRPr="00882180" w:rsidRDefault="001A08BD" w:rsidP="00882180">
      <w:pPr>
        <w:spacing w:line="480" w:lineRule="auto"/>
        <w:rPr>
          <w:rFonts w:ascii="Times New Roman" w:hAnsi="Times New Roman" w:cs="Times New Roman"/>
          <w:b/>
          <w:sz w:val="24"/>
          <w:szCs w:val="24"/>
        </w:rPr>
      </w:pPr>
    </w:p>
    <w:p w14:paraId="371E4119" w14:textId="77777777" w:rsidR="001A08BD" w:rsidRPr="00D970C3" w:rsidRDefault="001A08BD" w:rsidP="00882180">
      <w:pPr>
        <w:pStyle w:val="Titolo2"/>
        <w:spacing w:line="480" w:lineRule="auto"/>
        <w:rPr>
          <w:rFonts w:ascii="Times New Roman" w:hAnsi="Times New Roman" w:cs="Times New Roman"/>
          <w:b w:val="0"/>
          <w:color w:val="auto"/>
          <w:sz w:val="28"/>
          <w:szCs w:val="28"/>
        </w:rPr>
      </w:pPr>
      <w:bookmarkStart w:id="6" w:name="_Toc12908070"/>
      <w:r w:rsidRPr="00D970C3">
        <w:rPr>
          <w:rFonts w:ascii="Times New Roman" w:hAnsi="Times New Roman" w:cs="Times New Roman"/>
          <w:color w:val="auto"/>
          <w:sz w:val="28"/>
          <w:szCs w:val="28"/>
        </w:rPr>
        <w:lastRenderedPageBreak/>
        <w:t>2.2 Eziopatogenesi</w:t>
      </w:r>
      <w:bookmarkEnd w:id="6"/>
    </w:p>
    <w:p w14:paraId="1EB426CA"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 xml:space="preserve">L’eziopatogenesi risulta ignota, </w:t>
      </w:r>
      <w:r w:rsidR="009E5105" w:rsidRPr="00882180">
        <w:rPr>
          <w:rFonts w:ascii="Times New Roman" w:hAnsi="Times New Roman" w:cs="Times New Roman"/>
          <w:sz w:val="24"/>
          <w:szCs w:val="24"/>
        </w:rPr>
        <w:t xml:space="preserve">trattandosi </w:t>
      </w:r>
      <w:r w:rsidRPr="00882180">
        <w:rPr>
          <w:rFonts w:ascii="Times New Roman" w:hAnsi="Times New Roman" w:cs="Times New Roman"/>
          <w:sz w:val="24"/>
          <w:szCs w:val="24"/>
        </w:rPr>
        <w:t>probabilmente</w:t>
      </w:r>
      <w:r w:rsidR="009E5105" w:rsidRPr="00882180">
        <w:rPr>
          <w:rFonts w:ascii="Times New Roman" w:hAnsi="Times New Roman" w:cs="Times New Roman"/>
          <w:sz w:val="24"/>
          <w:szCs w:val="24"/>
        </w:rPr>
        <w:t xml:space="preserve"> </w:t>
      </w:r>
      <w:r w:rsidRPr="00882180">
        <w:rPr>
          <w:rFonts w:ascii="Times New Roman" w:hAnsi="Times New Roman" w:cs="Times New Roman"/>
          <w:sz w:val="24"/>
          <w:szCs w:val="24"/>
        </w:rPr>
        <w:t>di una patologia ad eziologia multifattoriale.</w:t>
      </w:r>
    </w:p>
    <w:p w14:paraId="0040CA89"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Sembra esserci una predisposizione genetica. Analizzando i soggetti che hanno sviluppato la patologia si è individuata una correlazione con antigeni HLA di classe I e classe II e, particolarmente, ci sarebbe una forte correlazione fra malattia e regioni localizzate su HLA II</w:t>
      </w:r>
      <w:r w:rsidR="00F66ECC"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50A69142" w14:textId="77777777" w:rsidR="001A08BD" w:rsidRPr="00882180" w:rsidRDefault="001A08BD" w:rsidP="00882180">
      <w:pPr>
        <w:spacing w:line="480" w:lineRule="auto"/>
        <w:rPr>
          <w:rFonts w:ascii="Times New Roman" w:hAnsi="Times New Roman" w:cs="Times New Roman"/>
          <w:sz w:val="24"/>
          <w:szCs w:val="24"/>
        </w:rPr>
      </w:pPr>
      <w:r w:rsidRPr="00882180">
        <w:rPr>
          <w:rFonts w:ascii="Times New Roman" w:hAnsi="Times New Roman" w:cs="Times New Roman"/>
          <w:sz w:val="24"/>
          <w:szCs w:val="24"/>
        </w:rPr>
        <w:t>I geni che predisporrebbero allo sviluppo della AGC sarebbero per la maggior parte localizzati su HLA nelle regioni comprese fra HLA-DRA e HLA-DRB1 e fra HLA-DQA1 e HLA-DQA2. In particolare, gli antigeni HLA-DR4 e alleli HLA-DRB1*0401 e DRB1*0404/08 sono stati identificati in numerosi soggetti affetti. Questi alleli sono gli stessi che predispongono a forme gravi di artrite reumatoide</w:t>
      </w:r>
      <w:r w:rsidR="009E5105" w:rsidRPr="00882180">
        <w:rPr>
          <w:rFonts w:ascii="Times New Roman" w:hAnsi="Times New Roman" w:cs="Times New Roman"/>
          <w:sz w:val="24"/>
          <w:szCs w:val="24"/>
        </w:rPr>
        <w:t xml:space="preserve"> (AR)</w:t>
      </w:r>
      <w:r w:rsidRPr="00882180">
        <w:rPr>
          <w:rFonts w:ascii="Times New Roman" w:hAnsi="Times New Roman" w:cs="Times New Roman"/>
          <w:sz w:val="24"/>
          <w:szCs w:val="24"/>
        </w:rPr>
        <w:t>, fatto che è in accordo con la possibilità che pazienti guariti dalla AGC/PMR possano recidivare con un</w:t>
      </w:r>
      <w:r w:rsidR="009E5105" w:rsidRPr="00882180">
        <w:rPr>
          <w:rFonts w:ascii="Times New Roman" w:hAnsi="Times New Roman" w:cs="Times New Roman"/>
          <w:sz w:val="24"/>
          <w:szCs w:val="24"/>
        </w:rPr>
        <w:t xml:space="preserve">’AR. </w:t>
      </w:r>
      <w:r w:rsidRPr="00882180">
        <w:rPr>
          <w:rFonts w:ascii="Times New Roman" w:hAnsi="Times New Roman" w:cs="Times New Roman"/>
          <w:sz w:val="24"/>
          <w:szCs w:val="24"/>
        </w:rPr>
        <w:t>Sono descritte anche rare forme familiari e aumentata prevalenza in popolazioni scandinave e comunità USA-Scandinave</w:t>
      </w:r>
      <w:r w:rsidR="00F66ECC" w:rsidRPr="00882180">
        <w:rPr>
          <w:rFonts w:ascii="Times New Roman" w:hAnsi="Times New Roman" w:cs="Times New Roman"/>
          <w:sz w:val="24"/>
          <w:szCs w:val="24"/>
        </w:rPr>
        <w:fldChar w:fldCharType="begin" w:fldLock="1"/>
      </w:r>
      <w:r w:rsidR="004F5F3E" w:rsidRPr="0088218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66ECC" w:rsidRPr="00882180">
        <w:rPr>
          <w:rFonts w:ascii="Times New Roman" w:hAnsi="Times New Roman" w:cs="Times New Roman"/>
          <w:sz w:val="24"/>
          <w:szCs w:val="24"/>
        </w:rPr>
        <w:fldChar w:fldCharType="separate"/>
      </w:r>
      <w:r w:rsidR="00F66ECC" w:rsidRPr="00882180">
        <w:rPr>
          <w:rFonts w:ascii="Times New Roman" w:hAnsi="Times New Roman" w:cs="Times New Roman"/>
          <w:noProof/>
          <w:sz w:val="24"/>
          <w:szCs w:val="24"/>
          <w:vertAlign w:val="superscript"/>
        </w:rPr>
        <w:t>1</w:t>
      </w:r>
      <w:r w:rsidR="00F66ECC" w:rsidRPr="00882180">
        <w:rPr>
          <w:rFonts w:ascii="Times New Roman" w:hAnsi="Times New Roman" w:cs="Times New Roman"/>
          <w:sz w:val="24"/>
          <w:szCs w:val="24"/>
        </w:rPr>
        <w:fldChar w:fldCharType="end"/>
      </w:r>
      <w:r w:rsidRPr="00882180">
        <w:rPr>
          <w:rFonts w:ascii="Times New Roman" w:hAnsi="Times New Roman" w:cs="Times New Roman"/>
          <w:sz w:val="24"/>
          <w:szCs w:val="24"/>
        </w:rPr>
        <w:t xml:space="preserve"> </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eviouslyFormattedCitation":"&lt;sup&gt;22&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22</w:t>
      </w:r>
      <w:r w:rsidR="00134692" w:rsidRPr="00882180">
        <w:rPr>
          <w:rFonts w:ascii="Times New Roman" w:hAnsi="Times New Roman" w:cs="Times New Roman"/>
          <w:sz w:val="24"/>
          <w:szCs w:val="24"/>
        </w:rPr>
        <w:fldChar w:fldCharType="end"/>
      </w:r>
      <w:r w:rsidR="00134692" w:rsidRPr="00882180">
        <w:rPr>
          <w:rFonts w:ascii="Times New Roman" w:hAnsi="Times New Roman" w:cs="Times New Roman"/>
          <w:sz w:val="24"/>
          <w:szCs w:val="24"/>
        </w:rPr>
        <w:t xml:space="preserve"> </w:t>
      </w:r>
      <w:r w:rsidR="00134692" w:rsidRPr="00882180">
        <w:rPr>
          <w:rFonts w:ascii="Times New Roman" w:hAnsi="Times New Roman" w:cs="Times New Roman"/>
          <w:sz w:val="24"/>
          <w:szCs w:val="24"/>
        </w:rPr>
        <w:fldChar w:fldCharType="begin" w:fldLock="1"/>
      </w:r>
      <w:r w:rsidR="00F66ECC" w:rsidRPr="00882180">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134692" w:rsidRPr="00882180">
        <w:rPr>
          <w:rFonts w:ascii="Times New Roman" w:hAnsi="Times New Roman" w:cs="Times New Roman"/>
          <w:sz w:val="24"/>
          <w:szCs w:val="24"/>
        </w:rPr>
        <w:fldChar w:fldCharType="separate"/>
      </w:r>
      <w:r w:rsidR="00C41B3B" w:rsidRPr="00882180">
        <w:rPr>
          <w:rFonts w:ascii="Times New Roman" w:hAnsi="Times New Roman" w:cs="Times New Roman"/>
          <w:noProof/>
          <w:sz w:val="24"/>
          <w:szCs w:val="24"/>
          <w:vertAlign w:val="superscript"/>
        </w:rPr>
        <w:t>11</w:t>
      </w:r>
      <w:r w:rsidR="00134692" w:rsidRPr="00882180">
        <w:rPr>
          <w:rFonts w:ascii="Times New Roman" w:hAnsi="Times New Roman" w:cs="Times New Roman"/>
          <w:sz w:val="24"/>
          <w:szCs w:val="24"/>
        </w:rPr>
        <w:fldChar w:fldCharType="end"/>
      </w:r>
      <w:r w:rsidRPr="00882180">
        <w:rPr>
          <w:rFonts w:ascii="Times New Roman" w:hAnsi="Times New Roman" w:cs="Times New Roman"/>
          <w:sz w:val="24"/>
          <w:szCs w:val="24"/>
        </w:rPr>
        <w:t>.</w:t>
      </w:r>
    </w:p>
    <w:p w14:paraId="7166DEF3" w14:textId="021E1CE7" w:rsidR="00034CEE" w:rsidRPr="003D252D" w:rsidRDefault="001A08BD" w:rsidP="003D252D">
      <w:pPr>
        <w:autoSpaceDE w:val="0"/>
        <w:autoSpaceDN w:val="0"/>
        <w:adjustRightInd w:val="0"/>
        <w:spacing w:after="0" w:line="480" w:lineRule="auto"/>
        <w:rPr>
          <w:rFonts w:ascii="QyxpjhAdvTT86d47313" w:hAnsi="QyxpjhAdvTT86d47313" w:cs="QyxpjhAdvTT86d47313"/>
          <w:color w:val="131413"/>
          <w:sz w:val="24"/>
          <w:szCs w:val="24"/>
        </w:rPr>
      </w:pPr>
      <w:r w:rsidRPr="003D252D">
        <w:rPr>
          <w:rFonts w:ascii="Times New Roman" w:hAnsi="Times New Roman" w:cs="Times New Roman"/>
          <w:sz w:val="24"/>
          <w:szCs w:val="24"/>
        </w:rPr>
        <w:t>Oltre alle regioni presenti su HLA, sono stati individuati numerosi polimorfismi di singoli nucleotidi in loci non-HLA che causerebbero</w:t>
      </w:r>
      <w:r w:rsidR="00734A31" w:rsidRPr="003D252D">
        <w:rPr>
          <w:rFonts w:ascii="Times New Roman" w:hAnsi="Times New Roman" w:cs="Times New Roman"/>
          <w:sz w:val="24"/>
          <w:szCs w:val="24"/>
        </w:rPr>
        <w:t xml:space="preserve"> </w:t>
      </w:r>
      <w:r w:rsidRPr="003D252D">
        <w:rPr>
          <w:rFonts w:ascii="Times New Roman" w:hAnsi="Times New Roman" w:cs="Times New Roman"/>
          <w:sz w:val="24"/>
          <w:szCs w:val="24"/>
        </w:rPr>
        <w:t>predisposizione allo sviluppo della malattia</w:t>
      </w:r>
      <w:r w:rsidR="00734A31" w:rsidRPr="003D252D">
        <w:rPr>
          <w:rFonts w:ascii="Times New Roman" w:hAnsi="Times New Roman" w:cs="Times New Roman"/>
          <w:sz w:val="24"/>
          <w:szCs w:val="24"/>
        </w:rPr>
        <w:t xml:space="preserve"> (Tabella 1)</w:t>
      </w:r>
      <w:r w:rsidR="00287946" w:rsidRPr="003D252D">
        <w:rPr>
          <w:rFonts w:ascii="Times New Roman" w:hAnsi="Times New Roman" w:cs="Times New Roman"/>
          <w:sz w:val="24"/>
          <w:szCs w:val="24"/>
        </w:rPr>
        <w:t xml:space="preserve"> </w:t>
      </w:r>
      <w:r w:rsidR="00734A31" w:rsidRPr="003D252D">
        <w:rPr>
          <w:rFonts w:ascii="Times New Roman" w:hAnsi="Times New Roman" w:cs="Times New Roman"/>
          <w:sz w:val="24"/>
          <w:szCs w:val="24"/>
        </w:rPr>
        <w:fldChar w:fldCharType="begin" w:fldLock="1"/>
      </w:r>
      <w:r w:rsidR="00B53AB8">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eviouslyFormattedCitation":"&lt;sup&gt;22&lt;/sup&gt;"},"properties":{"noteIndex":0},"schema":"https://github.com/citation-style-language/schema/raw/master/csl-citation.json"}</w:instrText>
      </w:r>
      <w:r w:rsidR="00734A31" w:rsidRPr="003D252D">
        <w:rPr>
          <w:rFonts w:ascii="Times New Roman" w:hAnsi="Times New Roman" w:cs="Times New Roman"/>
          <w:sz w:val="24"/>
          <w:szCs w:val="24"/>
        </w:rPr>
        <w:fldChar w:fldCharType="separate"/>
      </w:r>
      <w:r w:rsidR="00734A31" w:rsidRPr="003D252D">
        <w:rPr>
          <w:rFonts w:ascii="Times New Roman" w:hAnsi="Times New Roman" w:cs="Times New Roman"/>
          <w:noProof/>
          <w:sz w:val="24"/>
          <w:szCs w:val="24"/>
          <w:vertAlign w:val="superscript"/>
        </w:rPr>
        <w:t>22</w:t>
      </w:r>
      <w:r w:rsidR="00734A31" w:rsidRPr="003D252D">
        <w:rPr>
          <w:rFonts w:ascii="Times New Roman" w:hAnsi="Times New Roman" w:cs="Times New Roman"/>
          <w:sz w:val="24"/>
          <w:szCs w:val="24"/>
        </w:rPr>
        <w:fldChar w:fldCharType="end"/>
      </w:r>
      <w:r w:rsidR="00287946" w:rsidRPr="003D252D">
        <w:rPr>
          <w:rFonts w:ascii="Times New Roman" w:hAnsi="Times New Roman" w:cs="Times New Roman"/>
          <w:sz w:val="24"/>
          <w:szCs w:val="24"/>
        </w:rPr>
        <w:t>.</w:t>
      </w:r>
    </w:p>
    <w:p w14:paraId="15860ECC" w14:textId="0F789E3F" w:rsidR="001C0E1A" w:rsidRPr="003D252D" w:rsidRDefault="00034CEE" w:rsidP="003D252D">
      <w:pPr>
        <w:spacing w:line="480" w:lineRule="auto"/>
        <w:rPr>
          <w:rFonts w:ascii="Times New Roman" w:hAnsi="Times New Roman" w:cs="Times New Roman"/>
          <w:sz w:val="24"/>
          <w:szCs w:val="24"/>
        </w:rPr>
      </w:pPr>
      <w:r w:rsidRPr="003D252D">
        <w:rPr>
          <w:rFonts w:ascii="Times New Roman" w:hAnsi="Times New Roman" w:cs="Times New Roman"/>
          <w:sz w:val="24"/>
          <w:szCs w:val="24"/>
        </w:rPr>
        <w:t xml:space="preserve">Tuttavia, molti degli studi che valutano l’associazione fra </w:t>
      </w:r>
      <w:r w:rsidR="003D252D" w:rsidRPr="003D252D">
        <w:rPr>
          <w:rFonts w:ascii="Times New Roman" w:hAnsi="Times New Roman" w:cs="Times New Roman"/>
          <w:sz w:val="24"/>
          <w:szCs w:val="24"/>
        </w:rPr>
        <w:t>questi polimorfismi</w:t>
      </w:r>
      <w:r w:rsidRPr="003D252D">
        <w:rPr>
          <w:rFonts w:ascii="Times New Roman" w:hAnsi="Times New Roman" w:cs="Times New Roman"/>
          <w:sz w:val="24"/>
          <w:szCs w:val="24"/>
        </w:rPr>
        <w:t xml:space="preserve"> e l’AGC </w:t>
      </w:r>
      <w:r w:rsidR="00D2775C">
        <w:rPr>
          <w:rFonts w:ascii="Times New Roman" w:hAnsi="Times New Roman" w:cs="Times New Roman"/>
          <w:sz w:val="24"/>
          <w:szCs w:val="24"/>
        </w:rPr>
        <w:t>sono stati condotti su piccoli gruppi di pazienti</w:t>
      </w:r>
      <w:r w:rsidRPr="003D252D">
        <w:rPr>
          <w:rFonts w:ascii="Times New Roman" w:hAnsi="Times New Roman" w:cs="Times New Roman"/>
          <w:sz w:val="24"/>
          <w:szCs w:val="24"/>
        </w:rPr>
        <w:t xml:space="preserve"> e richiederebbero una </w:t>
      </w:r>
      <w:r w:rsidR="00D2775C">
        <w:rPr>
          <w:rFonts w:ascii="Times New Roman" w:hAnsi="Times New Roman" w:cs="Times New Roman"/>
          <w:sz w:val="24"/>
          <w:szCs w:val="24"/>
        </w:rPr>
        <w:t>conferma</w:t>
      </w:r>
      <w:r w:rsidRPr="003D252D">
        <w:rPr>
          <w:rFonts w:ascii="Times New Roman" w:hAnsi="Times New Roman" w:cs="Times New Roman"/>
          <w:sz w:val="24"/>
          <w:szCs w:val="24"/>
        </w:rPr>
        <w:t xml:space="preserve"> all’interno di coorti più numerose</w:t>
      </w:r>
      <w:r w:rsidR="00B53AB8">
        <w:rPr>
          <w:rFonts w:ascii="Times New Roman" w:hAnsi="Times New Roman" w:cs="Times New Roman"/>
          <w:sz w:val="24"/>
          <w:szCs w:val="24"/>
        </w:rPr>
        <w:fldChar w:fldCharType="begin" w:fldLock="1"/>
      </w:r>
      <w:r w:rsidR="00B53AB8">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operties":{"noteIndex":0},"schema":"https://github.com/citation-style-language/schema/raw/master/csl-citation.json"}</w:instrText>
      </w:r>
      <w:r w:rsidR="00B53AB8">
        <w:rPr>
          <w:rFonts w:ascii="Times New Roman" w:hAnsi="Times New Roman" w:cs="Times New Roman"/>
          <w:sz w:val="24"/>
          <w:szCs w:val="24"/>
        </w:rPr>
        <w:fldChar w:fldCharType="separate"/>
      </w:r>
      <w:r w:rsidR="00B53AB8" w:rsidRPr="00B53AB8">
        <w:rPr>
          <w:rFonts w:ascii="Times New Roman" w:hAnsi="Times New Roman" w:cs="Times New Roman"/>
          <w:noProof/>
          <w:sz w:val="24"/>
          <w:szCs w:val="24"/>
          <w:vertAlign w:val="superscript"/>
        </w:rPr>
        <w:t>22</w:t>
      </w:r>
      <w:r w:rsidR="00B53AB8">
        <w:rPr>
          <w:rFonts w:ascii="Times New Roman" w:hAnsi="Times New Roman" w:cs="Times New Roman"/>
          <w:sz w:val="24"/>
          <w:szCs w:val="24"/>
        </w:rPr>
        <w:fldChar w:fldCharType="end"/>
      </w:r>
      <w:r w:rsidRPr="003D252D">
        <w:rPr>
          <w:rFonts w:ascii="Times New Roman" w:hAnsi="Times New Roman" w:cs="Times New Roman"/>
          <w:sz w:val="24"/>
          <w:szCs w:val="24"/>
        </w:rPr>
        <w:t>.</w:t>
      </w:r>
    </w:p>
    <w:p w14:paraId="7B879EFC" w14:textId="45376AAA" w:rsidR="001A08BD" w:rsidRPr="00F555AD" w:rsidRDefault="001A08BD" w:rsidP="001C0E1A">
      <w:pPr>
        <w:spacing w:line="240" w:lineRule="auto"/>
        <w:rPr>
          <w:rFonts w:ascii="Times New Roman" w:hAnsi="Times New Roman" w:cs="Times New Roman"/>
        </w:rPr>
      </w:pPr>
      <w:r w:rsidRPr="00185E76">
        <w:rPr>
          <w:rFonts w:ascii="Times New Roman" w:hAnsi="Times New Roman" w:cs="Times New Roman"/>
          <w:b/>
        </w:rPr>
        <w:lastRenderedPageBreak/>
        <w:t>Tabella 1.</w:t>
      </w:r>
      <w:r w:rsidRPr="00F555AD">
        <w:rPr>
          <w:rFonts w:ascii="Times New Roman" w:hAnsi="Times New Roman" w:cs="Times New Roman"/>
        </w:rPr>
        <w:t xml:space="preserve"> Geni bersaglio di mutazioni correlate alla AGC</w:t>
      </w:r>
      <w:r w:rsidR="00C93774">
        <w:rPr>
          <w:rFonts w:ascii="Times New Roman" w:hAnsi="Times New Roman" w:cs="Times New Roman"/>
        </w:rPr>
        <w:t>.</w:t>
      </w:r>
      <w:r w:rsidR="00B53AB8">
        <w:rPr>
          <w:rFonts w:ascii="Times New Roman" w:hAnsi="Times New Roman" w:cs="Times New Roman"/>
        </w:rPr>
        <w:t xml:space="preserve"> All’interno della tabella i</w:t>
      </w:r>
      <w:r w:rsidR="00034CEE">
        <w:rPr>
          <w:rFonts w:ascii="Times New Roman" w:hAnsi="Times New Roman" w:cs="Times New Roman"/>
        </w:rPr>
        <w:t xml:space="preserve"> </w:t>
      </w:r>
      <w:r w:rsidR="00B53AB8">
        <w:rPr>
          <w:rFonts w:ascii="Times New Roman" w:hAnsi="Times New Roman" w:cs="Times New Roman"/>
        </w:rPr>
        <w:t>loc</w:t>
      </w:r>
      <w:r w:rsidR="00034CEE">
        <w:rPr>
          <w:rFonts w:ascii="Times New Roman" w:hAnsi="Times New Roman" w:cs="Times New Roman"/>
        </w:rPr>
        <w:t xml:space="preserve">i sono stati classificati </w:t>
      </w:r>
      <w:r w:rsidR="00B53AB8">
        <w:rPr>
          <w:rFonts w:ascii="Times New Roman" w:hAnsi="Times New Roman" w:cs="Times New Roman"/>
        </w:rPr>
        <w:t xml:space="preserve">in base alle </w:t>
      </w:r>
      <w:r w:rsidR="00034CEE">
        <w:rPr>
          <w:rFonts w:ascii="Times New Roman" w:hAnsi="Times New Roman" w:cs="Times New Roman"/>
        </w:rPr>
        <w:t>dimensioni della coorte di pazienti sulla quale sono stati condotti gli studi</w:t>
      </w:r>
    </w:p>
    <w:tbl>
      <w:tblPr>
        <w:tblW w:w="7835" w:type="dxa"/>
        <w:tblInd w:w="75" w:type="dxa"/>
        <w:tblCellMar>
          <w:left w:w="70" w:type="dxa"/>
          <w:right w:w="70" w:type="dxa"/>
        </w:tblCellMar>
        <w:tblLook w:val="04A0" w:firstRow="1" w:lastRow="0" w:firstColumn="1" w:lastColumn="0" w:noHBand="0" w:noVBand="1"/>
      </w:tblPr>
      <w:tblGrid>
        <w:gridCol w:w="4376"/>
        <w:gridCol w:w="3459"/>
      </w:tblGrid>
      <w:tr w:rsidR="00116A74" w:rsidRPr="00116A74" w14:paraId="5651A251"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4472C4" w:fill="4472C4"/>
            <w:noWrap/>
            <w:hideMark/>
          </w:tcPr>
          <w:p w14:paraId="48871BD0" w14:textId="60A3E90E" w:rsidR="00116A74" w:rsidRPr="00116A74" w:rsidRDefault="006D12C4" w:rsidP="00116A74">
            <w:pPr>
              <w:spacing w:after="0" w:line="240" w:lineRule="auto"/>
              <w:rPr>
                <w:rFonts w:ascii="Times New Roman" w:eastAsia="Times New Roman" w:hAnsi="Times New Roman" w:cs="Times New Roman"/>
                <w:b/>
                <w:bCs/>
                <w:color w:val="FFFFFF"/>
                <w:lang w:eastAsia="it-IT"/>
              </w:rPr>
            </w:pPr>
            <w:r>
              <w:rPr>
                <w:rFonts w:ascii="Times New Roman" w:eastAsia="Times New Roman" w:hAnsi="Times New Roman" w:cs="Times New Roman"/>
                <w:b/>
                <w:bCs/>
                <w:color w:val="FFFFFF"/>
                <w:lang w:eastAsia="it-IT"/>
              </w:rPr>
              <w:t>Locus n</w:t>
            </w:r>
            <w:r w:rsidR="00116A74" w:rsidRPr="00116A74">
              <w:rPr>
                <w:rFonts w:ascii="Times New Roman" w:eastAsia="Times New Roman" w:hAnsi="Times New Roman" w:cs="Times New Roman"/>
                <w:b/>
                <w:bCs/>
                <w:color w:val="FFFFFF"/>
                <w:lang w:eastAsia="it-IT"/>
              </w:rPr>
              <w:t xml:space="preserve">on-HLA </w:t>
            </w:r>
          </w:p>
        </w:tc>
        <w:tc>
          <w:tcPr>
            <w:tcW w:w="3459" w:type="dxa"/>
            <w:tcBorders>
              <w:top w:val="single" w:sz="4" w:space="0" w:color="4472C4"/>
              <w:left w:val="single" w:sz="4" w:space="0" w:color="4472C4"/>
              <w:bottom w:val="nil"/>
              <w:right w:val="single" w:sz="4" w:space="0" w:color="4472C4"/>
            </w:tcBorders>
            <w:shd w:val="clear" w:color="000000" w:fill="4472C4"/>
            <w:noWrap/>
            <w:hideMark/>
          </w:tcPr>
          <w:p w14:paraId="0242C379" w14:textId="66CBB283" w:rsidR="00116A74" w:rsidRPr="00116A74" w:rsidRDefault="00116A74" w:rsidP="00116A74">
            <w:pPr>
              <w:spacing w:after="0" w:line="240" w:lineRule="auto"/>
              <w:rPr>
                <w:rFonts w:ascii="Times New Roman" w:eastAsia="Times New Roman" w:hAnsi="Times New Roman" w:cs="Times New Roman"/>
                <w:b/>
                <w:bCs/>
                <w:color w:val="FFFFFF"/>
                <w:lang w:eastAsia="it-IT"/>
              </w:rPr>
            </w:pPr>
            <w:r w:rsidRPr="00116A74">
              <w:rPr>
                <w:rFonts w:ascii="Times New Roman" w:eastAsia="Times New Roman" w:hAnsi="Times New Roman" w:cs="Times New Roman"/>
                <w:b/>
                <w:bCs/>
                <w:color w:val="FFFFFF"/>
                <w:lang w:eastAsia="it-IT"/>
              </w:rPr>
              <w:t>Fun</w:t>
            </w:r>
            <w:r w:rsidR="006D12C4">
              <w:rPr>
                <w:rFonts w:ascii="Times New Roman" w:eastAsia="Times New Roman" w:hAnsi="Times New Roman" w:cs="Times New Roman"/>
                <w:b/>
                <w:bCs/>
                <w:color w:val="FFFFFF"/>
                <w:lang w:eastAsia="it-IT"/>
              </w:rPr>
              <w:t>zione</w:t>
            </w:r>
          </w:p>
        </w:tc>
      </w:tr>
      <w:tr w:rsidR="00116A74" w:rsidRPr="00116A74" w14:paraId="6E2D7EB0"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000000" w:fill="D9E1F2"/>
            <w:noWrap/>
            <w:hideMark/>
          </w:tcPr>
          <w:p w14:paraId="14CCE176" w14:textId="45691C12" w:rsidR="00116A74" w:rsidRPr="00116A74" w:rsidRDefault="00287946"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 xml:space="preserve">DIMENSIONE DEL CAMPIONE </w:t>
            </w:r>
            <w:r w:rsidR="00116A74" w:rsidRPr="00116A74">
              <w:rPr>
                <w:rFonts w:ascii="Times New Roman" w:eastAsia="Times New Roman" w:hAnsi="Times New Roman" w:cs="Times New Roman"/>
                <w:color w:val="000000"/>
                <w:lang w:eastAsia="it-IT"/>
              </w:rPr>
              <w:t>≥ 1000ᵃ</w:t>
            </w:r>
          </w:p>
        </w:tc>
        <w:tc>
          <w:tcPr>
            <w:tcW w:w="3459" w:type="dxa"/>
            <w:tcBorders>
              <w:top w:val="single" w:sz="4" w:space="0" w:color="4472C4"/>
              <w:left w:val="single" w:sz="4" w:space="0" w:color="4472C4"/>
              <w:bottom w:val="nil"/>
              <w:right w:val="single" w:sz="4" w:space="0" w:color="4472C4"/>
            </w:tcBorders>
            <w:shd w:val="clear" w:color="000000" w:fill="D9E1F2"/>
            <w:noWrap/>
            <w:hideMark/>
          </w:tcPr>
          <w:p w14:paraId="12F222CB" w14:textId="77777777"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 </w:t>
            </w:r>
          </w:p>
        </w:tc>
      </w:tr>
      <w:tr w:rsidR="00116A74" w:rsidRPr="00116A74" w14:paraId="0A85E064" w14:textId="77777777" w:rsidTr="00116A74">
        <w:trPr>
          <w:trHeight w:val="624"/>
        </w:trPr>
        <w:tc>
          <w:tcPr>
            <w:tcW w:w="4376" w:type="dxa"/>
            <w:tcBorders>
              <w:top w:val="single" w:sz="4" w:space="0" w:color="4472C4"/>
              <w:left w:val="single" w:sz="4" w:space="0" w:color="4472C4"/>
              <w:bottom w:val="nil"/>
              <w:right w:val="single" w:sz="4" w:space="0" w:color="4472C4"/>
            </w:tcBorders>
            <w:shd w:val="clear" w:color="auto" w:fill="auto"/>
            <w:noWrap/>
            <w:hideMark/>
          </w:tcPr>
          <w:p w14:paraId="626227F0" w14:textId="3578359D"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Plasm</w:t>
            </w:r>
            <w:r w:rsidR="009C4B45">
              <w:rPr>
                <w:rFonts w:ascii="Times New Roman" w:eastAsia="Times New Roman" w:hAnsi="Times New Roman" w:cs="Times New Roman"/>
                <w:color w:val="000000"/>
                <w:lang w:eastAsia="it-IT"/>
              </w:rPr>
              <w:t>inogeno</w:t>
            </w:r>
            <w:r w:rsidRPr="00116A74">
              <w:rPr>
                <w:rFonts w:ascii="Times New Roman" w:eastAsia="Times New Roman" w:hAnsi="Times New Roman" w:cs="Times New Roman"/>
                <w:color w:val="000000"/>
                <w:lang w:eastAsia="it-IT"/>
              </w:rPr>
              <w:t xml:space="preserve"> (PLG)</w:t>
            </w:r>
          </w:p>
        </w:tc>
        <w:tc>
          <w:tcPr>
            <w:tcW w:w="3459" w:type="dxa"/>
            <w:tcBorders>
              <w:top w:val="single" w:sz="4" w:space="0" w:color="4472C4"/>
              <w:left w:val="single" w:sz="4" w:space="0" w:color="4472C4"/>
              <w:bottom w:val="nil"/>
              <w:right w:val="single" w:sz="4" w:space="0" w:color="4472C4"/>
            </w:tcBorders>
            <w:shd w:val="clear" w:color="000000" w:fill="FFFFFF"/>
            <w:hideMark/>
          </w:tcPr>
          <w:p w14:paraId="6AA301B8" w14:textId="7B5793F6" w:rsidR="00116A74" w:rsidRPr="00116A74" w:rsidRDefault="006D12C4"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Reclutamento linfociti</w:t>
            </w:r>
            <w:r w:rsidR="00116A74" w:rsidRPr="00116A74">
              <w:rPr>
                <w:rFonts w:ascii="Times New Roman" w:eastAsia="Times New Roman" w:hAnsi="Times New Roman" w:cs="Times New Roman"/>
                <w:color w:val="000000"/>
                <w:lang w:eastAsia="it-IT"/>
              </w:rPr>
              <w:t xml:space="preserve">, </w:t>
            </w:r>
            <w:r>
              <w:rPr>
                <w:rFonts w:ascii="Times New Roman" w:eastAsia="Times New Roman" w:hAnsi="Times New Roman" w:cs="Times New Roman"/>
                <w:color w:val="000000"/>
                <w:lang w:eastAsia="it-IT"/>
              </w:rPr>
              <w:t>guarigione ferite</w:t>
            </w:r>
            <w:r w:rsidR="00116A74" w:rsidRPr="00116A74">
              <w:rPr>
                <w:rFonts w:ascii="Times New Roman" w:eastAsia="Times New Roman" w:hAnsi="Times New Roman" w:cs="Times New Roman"/>
                <w:color w:val="000000"/>
                <w:lang w:eastAsia="it-IT"/>
              </w:rPr>
              <w:t>, fibrino</w:t>
            </w:r>
            <w:r>
              <w:rPr>
                <w:rFonts w:ascii="Times New Roman" w:eastAsia="Times New Roman" w:hAnsi="Times New Roman" w:cs="Times New Roman"/>
                <w:color w:val="000000"/>
                <w:lang w:eastAsia="it-IT"/>
              </w:rPr>
              <w:t>lisi</w:t>
            </w:r>
            <w:r w:rsidR="00116A74" w:rsidRPr="00116A74">
              <w:rPr>
                <w:rFonts w:ascii="Times New Roman" w:eastAsia="Times New Roman" w:hAnsi="Times New Roman" w:cs="Times New Roman"/>
                <w:color w:val="000000"/>
                <w:lang w:eastAsia="it-IT"/>
              </w:rPr>
              <w:t>, angiogenesi</w:t>
            </w:r>
          </w:p>
        </w:tc>
      </w:tr>
      <w:tr w:rsidR="00116A74" w:rsidRPr="00116A74" w14:paraId="66EAD174" w14:textId="77777777" w:rsidTr="00116A74">
        <w:trPr>
          <w:trHeight w:val="672"/>
        </w:trPr>
        <w:tc>
          <w:tcPr>
            <w:tcW w:w="4376" w:type="dxa"/>
            <w:tcBorders>
              <w:top w:val="single" w:sz="4" w:space="0" w:color="4472C4"/>
              <w:left w:val="single" w:sz="4" w:space="0" w:color="4472C4"/>
              <w:bottom w:val="nil"/>
              <w:right w:val="single" w:sz="4" w:space="0" w:color="4472C4"/>
            </w:tcBorders>
            <w:shd w:val="clear" w:color="auto" w:fill="auto"/>
            <w:noWrap/>
            <w:hideMark/>
          </w:tcPr>
          <w:p w14:paraId="4CFE090F" w14:textId="731E3BA8"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Prop</w:t>
            </w:r>
            <w:r w:rsidR="0006139F">
              <w:rPr>
                <w:rFonts w:ascii="Times New Roman" w:eastAsia="Times New Roman" w:hAnsi="Times New Roman" w:cs="Times New Roman"/>
                <w:color w:val="000000"/>
                <w:lang w:eastAsia="it-IT"/>
              </w:rPr>
              <w:t>i</w:t>
            </w:r>
            <w:r w:rsidRPr="00116A74">
              <w:rPr>
                <w:rFonts w:ascii="Times New Roman" w:eastAsia="Times New Roman" w:hAnsi="Times New Roman" w:cs="Times New Roman"/>
                <w:color w:val="000000"/>
                <w:lang w:eastAsia="it-IT"/>
              </w:rPr>
              <w:t>l 4-</w:t>
            </w:r>
            <w:r w:rsidR="0006139F">
              <w:rPr>
                <w:rFonts w:ascii="Times New Roman" w:eastAsia="Times New Roman" w:hAnsi="Times New Roman" w:cs="Times New Roman"/>
                <w:color w:val="000000"/>
                <w:lang w:eastAsia="it-IT"/>
              </w:rPr>
              <w:t>idrossilasi</w:t>
            </w:r>
            <w:r w:rsidRPr="00116A74">
              <w:rPr>
                <w:rFonts w:ascii="Times New Roman" w:eastAsia="Times New Roman" w:hAnsi="Times New Roman" w:cs="Times New Roman"/>
                <w:color w:val="000000"/>
                <w:lang w:eastAsia="it-IT"/>
              </w:rPr>
              <w:t xml:space="preserve"> α2 (P4HA2)</w:t>
            </w:r>
          </w:p>
        </w:tc>
        <w:tc>
          <w:tcPr>
            <w:tcW w:w="3459" w:type="dxa"/>
            <w:tcBorders>
              <w:top w:val="single" w:sz="4" w:space="0" w:color="4472C4"/>
              <w:left w:val="single" w:sz="4" w:space="0" w:color="4472C4"/>
              <w:bottom w:val="nil"/>
              <w:right w:val="single" w:sz="4" w:space="0" w:color="4472C4"/>
            </w:tcBorders>
            <w:shd w:val="clear" w:color="000000" w:fill="FFFFFF"/>
            <w:hideMark/>
          </w:tcPr>
          <w:p w14:paraId="48AE6F26" w14:textId="65C181BC" w:rsidR="00116A74" w:rsidRPr="00116A74" w:rsidRDefault="002152CB"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Sintesi del c</w:t>
            </w:r>
            <w:r w:rsidR="00116A74" w:rsidRPr="00116A74">
              <w:rPr>
                <w:rFonts w:ascii="Times New Roman" w:eastAsia="Times New Roman" w:hAnsi="Times New Roman" w:cs="Times New Roman"/>
                <w:color w:val="000000"/>
                <w:lang w:eastAsia="it-IT"/>
              </w:rPr>
              <w:t>ollagen</w:t>
            </w:r>
            <w:r>
              <w:rPr>
                <w:rFonts w:ascii="Times New Roman" w:eastAsia="Times New Roman" w:hAnsi="Times New Roman" w:cs="Times New Roman"/>
                <w:color w:val="000000"/>
                <w:lang w:eastAsia="it-IT"/>
              </w:rPr>
              <w:t>e</w:t>
            </w:r>
            <w:r w:rsidR="00116A74" w:rsidRPr="00116A74">
              <w:rPr>
                <w:rFonts w:ascii="Times New Roman" w:eastAsia="Times New Roman" w:hAnsi="Times New Roman" w:cs="Times New Roman"/>
                <w:color w:val="000000"/>
                <w:lang w:eastAsia="it-IT"/>
              </w:rPr>
              <w:t xml:space="preserve">, </w:t>
            </w:r>
            <w:r w:rsidR="0006139F">
              <w:rPr>
                <w:rFonts w:ascii="Times New Roman" w:eastAsia="Times New Roman" w:hAnsi="Times New Roman" w:cs="Times New Roman"/>
                <w:color w:val="000000"/>
                <w:lang w:eastAsia="it-IT"/>
              </w:rPr>
              <w:t>ripiegamento</w:t>
            </w:r>
            <w:r w:rsidR="00116A74" w:rsidRPr="00116A74">
              <w:rPr>
                <w:rFonts w:ascii="Times New Roman" w:eastAsia="Times New Roman" w:hAnsi="Times New Roman" w:cs="Times New Roman"/>
                <w:color w:val="000000"/>
                <w:lang w:eastAsia="it-IT"/>
              </w:rPr>
              <w:t xml:space="preserve"> </w:t>
            </w:r>
            <w:r>
              <w:rPr>
                <w:rFonts w:ascii="Times New Roman" w:eastAsia="Times New Roman" w:hAnsi="Times New Roman" w:cs="Times New Roman"/>
                <w:color w:val="000000"/>
                <w:lang w:eastAsia="it-IT"/>
              </w:rPr>
              <w:t>delle catene di procollagene</w:t>
            </w:r>
            <w:r w:rsidR="00116A74" w:rsidRPr="00116A74">
              <w:rPr>
                <w:rFonts w:ascii="Times New Roman" w:eastAsia="Times New Roman" w:hAnsi="Times New Roman" w:cs="Times New Roman"/>
                <w:color w:val="000000"/>
                <w:lang w:eastAsia="it-IT"/>
              </w:rPr>
              <w:t xml:space="preserve">, </w:t>
            </w:r>
            <w:r>
              <w:rPr>
                <w:rFonts w:ascii="Times New Roman" w:eastAsia="Times New Roman" w:hAnsi="Times New Roman" w:cs="Times New Roman"/>
                <w:color w:val="000000"/>
                <w:lang w:eastAsia="it-IT"/>
              </w:rPr>
              <w:t>risposta all’ipossia</w:t>
            </w:r>
          </w:p>
        </w:tc>
      </w:tr>
      <w:tr w:rsidR="00116A74" w:rsidRPr="00116A74" w14:paraId="503C5923" w14:textId="77777777" w:rsidTr="00116A74">
        <w:trPr>
          <w:trHeight w:val="588"/>
        </w:trPr>
        <w:tc>
          <w:tcPr>
            <w:tcW w:w="4376" w:type="dxa"/>
            <w:tcBorders>
              <w:top w:val="single" w:sz="4" w:space="0" w:color="4472C4"/>
              <w:left w:val="single" w:sz="4" w:space="0" w:color="4472C4"/>
              <w:bottom w:val="nil"/>
              <w:right w:val="single" w:sz="4" w:space="0" w:color="4472C4"/>
            </w:tcBorders>
            <w:shd w:val="clear" w:color="auto" w:fill="auto"/>
            <w:noWrap/>
            <w:hideMark/>
          </w:tcPr>
          <w:p w14:paraId="59724860" w14:textId="480EE4A6"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T</w:t>
            </w:r>
            <w:r w:rsidR="00454783">
              <w:rPr>
                <w:rFonts w:ascii="Times New Roman" w:eastAsia="Times New Roman" w:hAnsi="Times New Roman" w:cs="Times New Roman"/>
                <w:color w:val="000000"/>
                <w:lang w:eastAsia="it-IT"/>
              </w:rPr>
              <w:t>i</w:t>
            </w:r>
            <w:r w:rsidRPr="00116A74">
              <w:rPr>
                <w:rFonts w:ascii="Times New Roman" w:eastAsia="Times New Roman" w:hAnsi="Times New Roman" w:cs="Times New Roman"/>
                <w:color w:val="000000"/>
                <w:lang w:eastAsia="it-IT"/>
              </w:rPr>
              <w:t xml:space="preserve">rosin </w:t>
            </w:r>
            <w:r w:rsidR="00454783">
              <w:rPr>
                <w:rFonts w:ascii="Times New Roman" w:eastAsia="Times New Roman" w:hAnsi="Times New Roman" w:cs="Times New Roman"/>
                <w:color w:val="000000"/>
                <w:lang w:eastAsia="it-IT"/>
              </w:rPr>
              <w:t>fosfatasi</w:t>
            </w:r>
            <w:r w:rsidRPr="00116A74">
              <w:rPr>
                <w:rFonts w:ascii="Times New Roman" w:eastAsia="Times New Roman" w:hAnsi="Times New Roman" w:cs="Times New Roman"/>
                <w:color w:val="000000"/>
                <w:lang w:eastAsia="it-IT"/>
              </w:rPr>
              <w:t xml:space="preserve"> non-rece</w:t>
            </w:r>
            <w:r w:rsidR="00454783">
              <w:rPr>
                <w:rFonts w:ascii="Times New Roman" w:eastAsia="Times New Roman" w:hAnsi="Times New Roman" w:cs="Times New Roman"/>
                <w:color w:val="000000"/>
                <w:lang w:eastAsia="it-IT"/>
              </w:rPr>
              <w:t>tt</w:t>
            </w:r>
            <w:r w:rsidRPr="00116A74">
              <w:rPr>
                <w:rFonts w:ascii="Times New Roman" w:eastAsia="Times New Roman" w:hAnsi="Times New Roman" w:cs="Times New Roman"/>
                <w:color w:val="000000"/>
                <w:lang w:eastAsia="it-IT"/>
              </w:rPr>
              <w:t>or</w:t>
            </w:r>
            <w:r w:rsidR="00454783">
              <w:rPr>
                <w:rFonts w:ascii="Times New Roman" w:eastAsia="Times New Roman" w:hAnsi="Times New Roman" w:cs="Times New Roman"/>
                <w:color w:val="000000"/>
                <w:lang w:eastAsia="it-IT"/>
              </w:rPr>
              <w:t>iale</w:t>
            </w:r>
            <w:r w:rsidRPr="00116A74">
              <w:rPr>
                <w:rFonts w:ascii="Times New Roman" w:eastAsia="Times New Roman" w:hAnsi="Times New Roman" w:cs="Times New Roman"/>
                <w:color w:val="000000"/>
                <w:lang w:eastAsia="it-IT"/>
              </w:rPr>
              <w:t xml:space="preserve"> 22 (PTPN22)</w:t>
            </w:r>
          </w:p>
        </w:tc>
        <w:tc>
          <w:tcPr>
            <w:tcW w:w="3459" w:type="dxa"/>
            <w:tcBorders>
              <w:top w:val="single" w:sz="4" w:space="0" w:color="4472C4"/>
              <w:left w:val="single" w:sz="4" w:space="0" w:color="4472C4"/>
              <w:bottom w:val="nil"/>
              <w:right w:val="single" w:sz="4" w:space="0" w:color="4472C4"/>
            </w:tcBorders>
            <w:shd w:val="clear" w:color="000000" w:fill="FFFFFF"/>
            <w:hideMark/>
          </w:tcPr>
          <w:p w14:paraId="104F60AC" w14:textId="377919D8" w:rsidR="00116A74" w:rsidRPr="00116A74" w:rsidRDefault="0006139F"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Regolazione dei segnali dei recettori delle cellule T e B</w:t>
            </w:r>
          </w:p>
        </w:tc>
      </w:tr>
      <w:tr w:rsidR="00116A74" w:rsidRPr="00116A74" w14:paraId="171DBB2D"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auto" w:fill="auto"/>
            <w:noWrap/>
            <w:hideMark/>
          </w:tcPr>
          <w:p w14:paraId="36346576" w14:textId="53EE244E"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Interle</w:t>
            </w:r>
            <w:r w:rsidR="009C4B45">
              <w:rPr>
                <w:rFonts w:ascii="Times New Roman" w:eastAsia="Times New Roman" w:hAnsi="Times New Roman" w:cs="Times New Roman"/>
                <w:color w:val="000000"/>
                <w:lang w:eastAsia="it-IT"/>
              </w:rPr>
              <w:t>uchina</w:t>
            </w:r>
            <w:r w:rsidRPr="00116A74">
              <w:rPr>
                <w:rFonts w:ascii="Times New Roman" w:eastAsia="Times New Roman" w:hAnsi="Times New Roman" w:cs="Times New Roman"/>
                <w:color w:val="000000"/>
                <w:lang w:eastAsia="it-IT"/>
              </w:rPr>
              <w:t>-12B</w:t>
            </w:r>
          </w:p>
        </w:tc>
        <w:tc>
          <w:tcPr>
            <w:tcW w:w="3459" w:type="dxa"/>
            <w:tcBorders>
              <w:top w:val="single" w:sz="4" w:space="0" w:color="4472C4"/>
              <w:left w:val="single" w:sz="4" w:space="0" w:color="4472C4"/>
              <w:bottom w:val="nil"/>
              <w:right w:val="single" w:sz="4" w:space="0" w:color="4472C4"/>
            </w:tcBorders>
            <w:shd w:val="clear" w:color="000000" w:fill="FFFFFF"/>
            <w:noWrap/>
            <w:hideMark/>
          </w:tcPr>
          <w:p w14:paraId="1325403A" w14:textId="4557E95C" w:rsidR="00116A74" w:rsidRPr="00116A74" w:rsidRDefault="0006139F"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 xml:space="preserve">Differenziazione </w:t>
            </w:r>
            <w:r w:rsidR="00116A74" w:rsidRPr="00116A74">
              <w:rPr>
                <w:rFonts w:ascii="Times New Roman" w:eastAsia="Times New Roman" w:hAnsi="Times New Roman" w:cs="Times New Roman"/>
                <w:color w:val="000000"/>
                <w:lang w:eastAsia="it-IT"/>
              </w:rPr>
              <w:t>Th1</w:t>
            </w:r>
          </w:p>
        </w:tc>
      </w:tr>
      <w:tr w:rsidR="00116A74" w:rsidRPr="00116A74" w14:paraId="05B96F93" w14:textId="77777777" w:rsidTr="00116A74">
        <w:trPr>
          <w:trHeight w:val="660"/>
        </w:trPr>
        <w:tc>
          <w:tcPr>
            <w:tcW w:w="4376" w:type="dxa"/>
            <w:tcBorders>
              <w:top w:val="single" w:sz="4" w:space="0" w:color="4472C4"/>
              <w:left w:val="single" w:sz="4" w:space="0" w:color="4472C4"/>
              <w:bottom w:val="nil"/>
              <w:right w:val="single" w:sz="4" w:space="0" w:color="4472C4"/>
            </w:tcBorders>
            <w:shd w:val="clear" w:color="auto" w:fill="auto"/>
            <w:noWrap/>
            <w:hideMark/>
          </w:tcPr>
          <w:p w14:paraId="6AA27979" w14:textId="0CDB435F"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Interleu</w:t>
            </w:r>
            <w:r w:rsidR="009C4B45">
              <w:rPr>
                <w:rFonts w:ascii="Times New Roman" w:eastAsia="Times New Roman" w:hAnsi="Times New Roman" w:cs="Times New Roman"/>
                <w:color w:val="000000"/>
                <w:lang w:eastAsia="it-IT"/>
              </w:rPr>
              <w:t>chi</w:t>
            </w:r>
            <w:r w:rsidRPr="00116A74">
              <w:rPr>
                <w:rFonts w:ascii="Times New Roman" w:eastAsia="Times New Roman" w:hAnsi="Times New Roman" w:cs="Times New Roman"/>
                <w:color w:val="000000"/>
                <w:lang w:eastAsia="it-IT"/>
              </w:rPr>
              <w:t>n</w:t>
            </w:r>
            <w:r w:rsidR="009C4B45">
              <w:rPr>
                <w:rFonts w:ascii="Times New Roman" w:eastAsia="Times New Roman" w:hAnsi="Times New Roman" w:cs="Times New Roman"/>
                <w:color w:val="000000"/>
                <w:lang w:eastAsia="it-IT"/>
              </w:rPr>
              <w:t>a</w:t>
            </w:r>
            <w:r w:rsidRPr="00116A74">
              <w:rPr>
                <w:rFonts w:ascii="Times New Roman" w:eastAsia="Times New Roman" w:hAnsi="Times New Roman" w:cs="Times New Roman"/>
                <w:color w:val="000000"/>
                <w:lang w:eastAsia="it-IT"/>
              </w:rPr>
              <w:t>- 17A</w:t>
            </w:r>
          </w:p>
        </w:tc>
        <w:tc>
          <w:tcPr>
            <w:tcW w:w="3459" w:type="dxa"/>
            <w:tcBorders>
              <w:top w:val="single" w:sz="4" w:space="0" w:color="4472C4"/>
              <w:left w:val="single" w:sz="4" w:space="0" w:color="4472C4"/>
              <w:bottom w:val="nil"/>
              <w:right w:val="single" w:sz="4" w:space="0" w:color="4472C4"/>
            </w:tcBorders>
            <w:shd w:val="clear" w:color="000000" w:fill="FFFFFF"/>
            <w:hideMark/>
          </w:tcPr>
          <w:p w14:paraId="761B05C6" w14:textId="37F25528" w:rsidR="00116A74" w:rsidRPr="00116A74" w:rsidRDefault="0006139F"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Differenziazione e mantenim</w:t>
            </w:r>
            <w:r w:rsidR="005C38BC">
              <w:rPr>
                <w:rFonts w:ascii="Times New Roman" w:eastAsia="Times New Roman" w:hAnsi="Times New Roman" w:cs="Times New Roman"/>
                <w:color w:val="000000"/>
                <w:lang w:eastAsia="it-IT"/>
              </w:rPr>
              <w:t>e</w:t>
            </w:r>
            <w:r>
              <w:rPr>
                <w:rFonts w:ascii="Times New Roman" w:eastAsia="Times New Roman" w:hAnsi="Times New Roman" w:cs="Times New Roman"/>
                <w:color w:val="000000"/>
                <w:lang w:eastAsia="it-IT"/>
              </w:rPr>
              <w:t xml:space="preserve">nto linfociti </w:t>
            </w:r>
            <w:r w:rsidR="00116A74" w:rsidRPr="00116A74">
              <w:rPr>
                <w:rFonts w:ascii="Times New Roman" w:eastAsia="Times New Roman" w:hAnsi="Times New Roman" w:cs="Times New Roman"/>
                <w:color w:val="000000"/>
                <w:lang w:eastAsia="it-IT"/>
              </w:rPr>
              <w:t xml:space="preserve">Th17 </w:t>
            </w:r>
          </w:p>
        </w:tc>
      </w:tr>
      <w:tr w:rsidR="00116A74" w:rsidRPr="00116A74" w14:paraId="1F2D5C59" w14:textId="77777777" w:rsidTr="00116A74">
        <w:trPr>
          <w:trHeight w:val="648"/>
        </w:trPr>
        <w:tc>
          <w:tcPr>
            <w:tcW w:w="4376" w:type="dxa"/>
            <w:tcBorders>
              <w:top w:val="single" w:sz="4" w:space="0" w:color="4472C4"/>
              <w:left w:val="single" w:sz="4" w:space="0" w:color="4472C4"/>
              <w:bottom w:val="nil"/>
              <w:right w:val="single" w:sz="4" w:space="0" w:color="4472C4"/>
            </w:tcBorders>
            <w:shd w:val="clear" w:color="auto" w:fill="auto"/>
            <w:noWrap/>
            <w:hideMark/>
          </w:tcPr>
          <w:p w14:paraId="35FA0A95" w14:textId="42DFAC0B"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Interleu</w:t>
            </w:r>
            <w:r w:rsidR="009C4B45">
              <w:rPr>
                <w:rFonts w:ascii="Times New Roman" w:eastAsia="Times New Roman" w:hAnsi="Times New Roman" w:cs="Times New Roman"/>
                <w:color w:val="000000"/>
                <w:lang w:eastAsia="it-IT"/>
              </w:rPr>
              <w:t>ch</w:t>
            </w:r>
            <w:r w:rsidRPr="00116A74">
              <w:rPr>
                <w:rFonts w:ascii="Times New Roman" w:eastAsia="Times New Roman" w:hAnsi="Times New Roman" w:cs="Times New Roman"/>
                <w:color w:val="000000"/>
                <w:lang w:eastAsia="it-IT"/>
              </w:rPr>
              <w:t>in</w:t>
            </w:r>
            <w:r w:rsidR="009C4B45">
              <w:rPr>
                <w:rFonts w:ascii="Times New Roman" w:eastAsia="Times New Roman" w:hAnsi="Times New Roman" w:cs="Times New Roman"/>
                <w:color w:val="000000"/>
                <w:lang w:eastAsia="it-IT"/>
              </w:rPr>
              <w:t>a</w:t>
            </w:r>
            <w:r w:rsidRPr="00116A74">
              <w:rPr>
                <w:rFonts w:ascii="Times New Roman" w:eastAsia="Times New Roman" w:hAnsi="Times New Roman" w:cs="Times New Roman"/>
                <w:color w:val="000000"/>
                <w:lang w:eastAsia="it-IT"/>
              </w:rPr>
              <w:t>-33</w:t>
            </w:r>
          </w:p>
        </w:tc>
        <w:tc>
          <w:tcPr>
            <w:tcW w:w="3459" w:type="dxa"/>
            <w:tcBorders>
              <w:top w:val="single" w:sz="4" w:space="0" w:color="4472C4"/>
              <w:left w:val="single" w:sz="4" w:space="0" w:color="4472C4"/>
              <w:bottom w:val="nil"/>
              <w:right w:val="single" w:sz="4" w:space="0" w:color="4472C4"/>
            </w:tcBorders>
            <w:shd w:val="clear" w:color="000000" w:fill="FFFFFF"/>
            <w:hideMark/>
          </w:tcPr>
          <w:p w14:paraId="5474C819" w14:textId="0DECFE2A" w:rsidR="00116A74" w:rsidRPr="00116A74" w:rsidRDefault="005C38BC"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 xml:space="preserve">Attivazione linfociti </w:t>
            </w:r>
            <w:r w:rsidR="00116A74" w:rsidRPr="00116A74">
              <w:rPr>
                <w:rFonts w:ascii="Times New Roman" w:eastAsia="Times New Roman" w:hAnsi="Times New Roman" w:cs="Times New Roman"/>
                <w:color w:val="000000"/>
                <w:lang w:eastAsia="it-IT"/>
              </w:rPr>
              <w:t>Th2</w:t>
            </w:r>
            <w:r>
              <w:rPr>
                <w:rFonts w:ascii="Times New Roman" w:eastAsia="Times New Roman" w:hAnsi="Times New Roman" w:cs="Times New Roman"/>
                <w:color w:val="000000"/>
                <w:lang w:eastAsia="it-IT"/>
              </w:rPr>
              <w:t>, mastocellule e cellule endoteliali</w:t>
            </w:r>
            <w:r w:rsidR="00116A74" w:rsidRPr="00116A74">
              <w:rPr>
                <w:rFonts w:ascii="Times New Roman" w:eastAsia="Times New Roman" w:hAnsi="Times New Roman" w:cs="Times New Roman"/>
                <w:color w:val="000000"/>
                <w:lang w:eastAsia="it-IT"/>
              </w:rPr>
              <w:t xml:space="preserve"> </w:t>
            </w:r>
          </w:p>
        </w:tc>
      </w:tr>
      <w:tr w:rsidR="00116A74" w:rsidRPr="00116A74" w14:paraId="16668A6D"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000000" w:fill="D9E1F2"/>
            <w:noWrap/>
            <w:hideMark/>
          </w:tcPr>
          <w:p w14:paraId="2A3C8013" w14:textId="5E18C4F4" w:rsidR="00116A74" w:rsidRPr="00116A74" w:rsidRDefault="00287946"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DIMENSIONE DEL CAMPIONE</w:t>
            </w:r>
            <w:r w:rsidR="00116A74" w:rsidRPr="00116A74">
              <w:rPr>
                <w:rFonts w:ascii="Times New Roman" w:eastAsia="Times New Roman" w:hAnsi="Times New Roman" w:cs="Times New Roman"/>
                <w:color w:val="000000"/>
                <w:lang w:eastAsia="it-IT"/>
              </w:rPr>
              <w:t xml:space="preserve"> ≥ 500</w:t>
            </w:r>
          </w:p>
        </w:tc>
        <w:tc>
          <w:tcPr>
            <w:tcW w:w="3459" w:type="dxa"/>
            <w:tcBorders>
              <w:top w:val="single" w:sz="4" w:space="0" w:color="4472C4"/>
              <w:left w:val="single" w:sz="4" w:space="0" w:color="4472C4"/>
              <w:bottom w:val="nil"/>
              <w:right w:val="single" w:sz="4" w:space="0" w:color="4472C4"/>
            </w:tcBorders>
            <w:shd w:val="clear" w:color="000000" w:fill="D9E1F2"/>
            <w:noWrap/>
            <w:hideMark/>
          </w:tcPr>
          <w:p w14:paraId="6E0A2627" w14:textId="77777777"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 </w:t>
            </w:r>
          </w:p>
        </w:tc>
      </w:tr>
      <w:tr w:rsidR="00116A74" w:rsidRPr="00116A74" w14:paraId="1AD1ABC2" w14:textId="77777777" w:rsidTr="00116A74">
        <w:trPr>
          <w:trHeight w:val="864"/>
        </w:trPr>
        <w:tc>
          <w:tcPr>
            <w:tcW w:w="4376" w:type="dxa"/>
            <w:tcBorders>
              <w:top w:val="single" w:sz="4" w:space="0" w:color="4472C4"/>
              <w:left w:val="single" w:sz="4" w:space="0" w:color="4472C4"/>
              <w:bottom w:val="nil"/>
              <w:right w:val="single" w:sz="4" w:space="0" w:color="4472C4"/>
            </w:tcBorders>
            <w:shd w:val="clear" w:color="auto" w:fill="auto"/>
            <w:noWrap/>
            <w:hideMark/>
          </w:tcPr>
          <w:p w14:paraId="76D92C92" w14:textId="77B70C6F"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 xml:space="preserve">NLR </w:t>
            </w:r>
            <w:r w:rsidR="00591679">
              <w:rPr>
                <w:rFonts w:ascii="Times New Roman" w:eastAsia="Times New Roman" w:hAnsi="Times New Roman" w:cs="Times New Roman"/>
                <w:color w:val="000000"/>
                <w:lang w:eastAsia="it-IT"/>
              </w:rPr>
              <w:t>contenente il dominio Pyrin</w:t>
            </w:r>
            <w:r w:rsidRPr="00116A74">
              <w:rPr>
                <w:rFonts w:ascii="Times New Roman" w:eastAsia="Times New Roman" w:hAnsi="Times New Roman" w:cs="Times New Roman"/>
                <w:color w:val="000000"/>
                <w:lang w:eastAsia="it-IT"/>
              </w:rPr>
              <w:t xml:space="preserve"> 1 (NLPR1)</w:t>
            </w:r>
          </w:p>
        </w:tc>
        <w:tc>
          <w:tcPr>
            <w:tcW w:w="3459" w:type="dxa"/>
            <w:tcBorders>
              <w:top w:val="single" w:sz="4" w:space="0" w:color="4472C4"/>
              <w:left w:val="single" w:sz="4" w:space="0" w:color="4472C4"/>
              <w:bottom w:val="nil"/>
              <w:right w:val="single" w:sz="4" w:space="0" w:color="4472C4"/>
            </w:tcBorders>
            <w:shd w:val="clear" w:color="000000" w:fill="FFFFFF"/>
            <w:hideMark/>
          </w:tcPr>
          <w:p w14:paraId="048FC6FE" w14:textId="6E6A48B8" w:rsidR="00116A74" w:rsidRPr="00116A74" w:rsidRDefault="005C38BC" w:rsidP="00116A74">
            <w:pPr>
              <w:spacing w:after="0" w:line="240" w:lineRule="auto"/>
              <w:rPr>
                <w:rFonts w:ascii="Times New Roman" w:eastAsia="Times New Roman" w:hAnsi="Times New Roman" w:cs="Times New Roman"/>
                <w:color w:val="000000"/>
                <w:lang w:eastAsia="it-IT"/>
              </w:rPr>
            </w:pPr>
            <w:r w:rsidRPr="00F555AD">
              <w:rPr>
                <w:rFonts w:ascii="Times New Roman" w:eastAsia="Times New Roman" w:hAnsi="Times New Roman" w:cs="Times New Roman"/>
                <w:color w:val="000000"/>
                <w:lang w:eastAsia="it-IT"/>
              </w:rPr>
              <w:t>Costituzione dell’inflammasoma, attivazione delle citochine proinfiammatorie IL-1β, IL-18, IL-33</w:t>
            </w:r>
          </w:p>
        </w:tc>
      </w:tr>
      <w:tr w:rsidR="00116A74" w:rsidRPr="00116A74" w14:paraId="288AA435"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000000" w:fill="D9E1F2"/>
            <w:noWrap/>
            <w:hideMark/>
          </w:tcPr>
          <w:p w14:paraId="78B6EEC4" w14:textId="32903513" w:rsidR="00116A74" w:rsidRPr="00116A74" w:rsidRDefault="00287946"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 xml:space="preserve">DIMENSIONE DEL CAMPIONE </w:t>
            </w:r>
            <w:r w:rsidR="00116A74" w:rsidRPr="00116A74">
              <w:rPr>
                <w:rFonts w:ascii="Times New Roman" w:eastAsia="Times New Roman" w:hAnsi="Times New Roman" w:cs="Times New Roman"/>
                <w:color w:val="000000"/>
                <w:lang w:eastAsia="it-IT"/>
              </w:rPr>
              <w:t>≥ 250</w:t>
            </w:r>
          </w:p>
        </w:tc>
        <w:tc>
          <w:tcPr>
            <w:tcW w:w="3459" w:type="dxa"/>
            <w:tcBorders>
              <w:top w:val="single" w:sz="4" w:space="0" w:color="4472C4"/>
              <w:left w:val="single" w:sz="4" w:space="0" w:color="4472C4"/>
              <w:bottom w:val="nil"/>
              <w:right w:val="single" w:sz="4" w:space="0" w:color="4472C4"/>
            </w:tcBorders>
            <w:shd w:val="clear" w:color="000000" w:fill="D9E1F2"/>
            <w:noWrap/>
            <w:hideMark/>
          </w:tcPr>
          <w:p w14:paraId="1CF2C560" w14:textId="77777777"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 </w:t>
            </w:r>
          </w:p>
        </w:tc>
      </w:tr>
      <w:tr w:rsidR="00116A74" w:rsidRPr="00116A74" w14:paraId="1049A7D8" w14:textId="77777777" w:rsidTr="00116A74">
        <w:trPr>
          <w:trHeight w:val="1152"/>
        </w:trPr>
        <w:tc>
          <w:tcPr>
            <w:tcW w:w="4376" w:type="dxa"/>
            <w:tcBorders>
              <w:top w:val="single" w:sz="4" w:space="0" w:color="4472C4"/>
              <w:left w:val="single" w:sz="4" w:space="0" w:color="4472C4"/>
              <w:bottom w:val="nil"/>
              <w:right w:val="single" w:sz="4" w:space="0" w:color="4472C4"/>
            </w:tcBorders>
            <w:shd w:val="clear" w:color="auto" w:fill="auto"/>
            <w:noWrap/>
            <w:hideMark/>
          </w:tcPr>
          <w:p w14:paraId="69CA3ECC" w14:textId="4ECD1A03"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CC</w:t>
            </w:r>
            <w:r w:rsidR="009C4B45">
              <w:rPr>
                <w:rFonts w:ascii="Times New Roman" w:eastAsia="Times New Roman" w:hAnsi="Times New Roman" w:cs="Times New Roman"/>
                <w:color w:val="000000"/>
                <w:lang w:eastAsia="it-IT"/>
              </w:rPr>
              <w:t xml:space="preserve"> recettore </w:t>
            </w:r>
            <w:r w:rsidR="005C38BC">
              <w:rPr>
                <w:rFonts w:ascii="Times New Roman" w:eastAsia="Times New Roman" w:hAnsi="Times New Roman" w:cs="Times New Roman"/>
                <w:color w:val="000000"/>
                <w:lang w:eastAsia="it-IT"/>
              </w:rPr>
              <w:t>delle</w:t>
            </w:r>
            <w:r w:rsidR="009C4B45">
              <w:rPr>
                <w:rFonts w:ascii="Times New Roman" w:eastAsia="Times New Roman" w:hAnsi="Times New Roman" w:cs="Times New Roman"/>
                <w:color w:val="000000"/>
                <w:lang w:eastAsia="it-IT"/>
              </w:rPr>
              <w:t xml:space="preserve"> chemochine</w:t>
            </w:r>
            <w:r w:rsidRPr="00116A74">
              <w:rPr>
                <w:rFonts w:ascii="Times New Roman" w:eastAsia="Times New Roman" w:hAnsi="Times New Roman" w:cs="Times New Roman"/>
                <w:color w:val="000000"/>
                <w:lang w:eastAsia="it-IT"/>
              </w:rPr>
              <w:t xml:space="preserve"> 5(CCR5)</w:t>
            </w:r>
          </w:p>
        </w:tc>
        <w:tc>
          <w:tcPr>
            <w:tcW w:w="3459" w:type="dxa"/>
            <w:tcBorders>
              <w:top w:val="single" w:sz="4" w:space="0" w:color="4472C4"/>
              <w:left w:val="single" w:sz="4" w:space="0" w:color="4472C4"/>
              <w:bottom w:val="nil"/>
              <w:right w:val="single" w:sz="4" w:space="0" w:color="4472C4"/>
            </w:tcBorders>
            <w:shd w:val="clear" w:color="000000" w:fill="FFFFFF"/>
            <w:hideMark/>
          </w:tcPr>
          <w:p w14:paraId="0ED80522" w14:textId="0FFE5A34" w:rsidR="00116A74" w:rsidRPr="00116A74" w:rsidRDefault="005C38BC" w:rsidP="00116A74">
            <w:pPr>
              <w:spacing w:after="0" w:line="240" w:lineRule="auto"/>
              <w:rPr>
                <w:rFonts w:ascii="Times New Roman" w:eastAsia="Times New Roman" w:hAnsi="Times New Roman" w:cs="Times New Roman"/>
                <w:color w:val="000000"/>
                <w:lang w:eastAsia="it-IT"/>
              </w:rPr>
            </w:pPr>
            <w:r w:rsidRPr="00F555AD">
              <w:rPr>
                <w:rFonts w:ascii="Times New Roman" w:eastAsia="Times New Roman" w:hAnsi="Times New Roman" w:cs="Times New Roman"/>
                <w:color w:val="000000"/>
                <w:lang w:eastAsia="it-IT"/>
              </w:rPr>
              <w:t>Attivazione delle chemochine proinfiammatorie, chemiotassi dei macrofagi, linfociti T, cellule dendritiche</w:t>
            </w:r>
          </w:p>
        </w:tc>
      </w:tr>
      <w:tr w:rsidR="00116A74" w:rsidRPr="00116A74" w14:paraId="41B0F98C"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auto" w:fill="auto"/>
            <w:noWrap/>
            <w:hideMark/>
          </w:tcPr>
          <w:p w14:paraId="74B8CFAC" w14:textId="3AF10527" w:rsidR="00116A74" w:rsidRPr="00116A74" w:rsidRDefault="005C38BC"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Fattore di crescita dell’endotelio vascolare</w:t>
            </w:r>
            <w:r w:rsidR="00116A74" w:rsidRPr="00116A74">
              <w:rPr>
                <w:rFonts w:ascii="Times New Roman" w:eastAsia="Times New Roman" w:hAnsi="Times New Roman" w:cs="Times New Roman"/>
                <w:color w:val="000000"/>
                <w:lang w:eastAsia="it-IT"/>
              </w:rPr>
              <w:t xml:space="preserve"> (VEGF)</w:t>
            </w:r>
          </w:p>
        </w:tc>
        <w:tc>
          <w:tcPr>
            <w:tcW w:w="3459" w:type="dxa"/>
            <w:tcBorders>
              <w:top w:val="single" w:sz="4" w:space="0" w:color="4472C4"/>
              <w:left w:val="single" w:sz="4" w:space="0" w:color="4472C4"/>
              <w:bottom w:val="nil"/>
              <w:right w:val="single" w:sz="4" w:space="0" w:color="4472C4"/>
            </w:tcBorders>
            <w:shd w:val="clear" w:color="000000" w:fill="FFFFFF"/>
            <w:noWrap/>
            <w:hideMark/>
          </w:tcPr>
          <w:p w14:paraId="71040140" w14:textId="7A16980E" w:rsidR="00116A74" w:rsidRPr="00116A74" w:rsidRDefault="005C38BC" w:rsidP="00116A74">
            <w:pPr>
              <w:spacing w:after="0" w:line="240" w:lineRule="auto"/>
              <w:rPr>
                <w:rFonts w:ascii="Times New Roman" w:eastAsia="Times New Roman" w:hAnsi="Times New Roman" w:cs="Times New Roman"/>
                <w:color w:val="000000"/>
                <w:lang w:eastAsia="it-IT"/>
              </w:rPr>
            </w:pPr>
            <w:r w:rsidRPr="00F555AD">
              <w:rPr>
                <w:rFonts w:ascii="Times New Roman" w:eastAsia="Times New Roman" w:hAnsi="Times New Roman" w:cs="Times New Roman"/>
                <w:color w:val="000000"/>
                <w:lang w:eastAsia="it-IT"/>
              </w:rPr>
              <w:t>Neoangiogenesi, rimodellamento vascolare</w:t>
            </w:r>
          </w:p>
        </w:tc>
      </w:tr>
      <w:tr w:rsidR="00116A74" w:rsidRPr="00116A74" w14:paraId="17C4598C"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auto" w:fill="auto"/>
            <w:noWrap/>
            <w:hideMark/>
          </w:tcPr>
          <w:p w14:paraId="3D624F18" w14:textId="378E2BEB"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Interleu</w:t>
            </w:r>
            <w:r w:rsidR="009C4B45">
              <w:rPr>
                <w:rFonts w:ascii="Times New Roman" w:eastAsia="Times New Roman" w:hAnsi="Times New Roman" w:cs="Times New Roman"/>
                <w:color w:val="000000"/>
                <w:lang w:eastAsia="it-IT"/>
              </w:rPr>
              <w:t>ch</w:t>
            </w:r>
            <w:r w:rsidRPr="00116A74">
              <w:rPr>
                <w:rFonts w:ascii="Times New Roman" w:eastAsia="Times New Roman" w:hAnsi="Times New Roman" w:cs="Times New Roman"/>
                <w:color w:val="000000"/>
                <w:lang w:eastAsia="it-IT"/>
              </w:rPr>
              <w:t>in</w:t>
            </w:r>
            <w:r w:rsidR="009C4B45">
              <w:rPr>
                <w:rFonts w:ascii="Times New Roman" w:eastAsia="Times New Roman" w:hAnsi="Times New Roman" w:cs="Times New Roman"/>
                <w:color w:val="000000"/>
                <w:lang w:eastAsia="it-IT"/>
              </w:rPr>
              <w:t>a</w:t>
            </w:r>
            <w:r w:rsidRPr="00116A74">
              <w:rPr>
                <w:rFonts w:ascii="Times New Roman" w:eastAsia="Times New Roman" w:hAnsi="Times New Roman" w:cs="Times New Roman"/>
                <w:color w:val="000000"/>
                <w:lang w:eastAsia="it-IT"/>
              </w:rPr>
              <w:t>-6</w:t>
            </w:r>
          </w:p>
        </w:tc>
        <w:tc>
          <w:tcPr>
            <w:tcW w:w="3459" w:type="dxa"/>
            <w:tcBorders>
              <w:top w:val="single" w:sz="4" w:space="0" w:color="4472C4"/>
              <w:left w:val="single" w:sz="4" w:space="0" w:color="4472C4"/>
              <w:bottom w:val="nil"/>
              <w:right w:val="single" w:sz="4" w:space="0" w:color="4472C4"/>
            </w:tcBorders>
            <w:shd w:val="clear" w:color="000000" w:fill="FFFFFF"/>
            <w:noWrap/>
            <w:hideMark/>
          </w:tcPr>
          <w:p w14:paraId="7F812062" w14:textId="18A2AAD3" w:rsidR="00116A74" w:rsidRPr="00116A74" w:rsidRDefault="005C38BC" w:rsidP="00116A74">
            <w:pPr>
              <w:spacing w:after="0" w:line="240" w:lineRule="auto"/>
              <w:rPr>
                <w:rFonts w:ascii="Times New Roman" w:eastAsia="Times New Roman" w:hAnsi="Times New Roman" w:cs="Times New Roman"/>
                <w:color w:val="000000"/>
                <w:lang w:eastAsia="it-IT"/>
              </w:rPr>
            </w:pPr>
            <w:r w:rsidRPr="00F555AD">
              <w:rPr>
                <w:rFonts w:ascii="Times New Roman" w:eastAsia="Times New Roman" w:hAnsi="Times New Roman" w:cs="Times New Roman"/>
                <w:color w:val="000000"/>
                <w:lang w:eastAsia="it-IT"/>
              </w:rPr>
              <w:t>Citochina proinfiammatoria pleotropica</w:t>
            </w:r>
          </w:p>
        </w:tc>
      </w:tr>
      <w:tr w:rsidR="00116A74" w:rsidRPr="00116A74" w14:paraId="352CDEE0"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000000" w:fill="D9E1F2"/>
            <w:noWrap/>
            <w:hideMark/>
          </w:tcPr>
          <w:p w14:paraId="62AC12C5" w14:textId="1E1E2DEE" w:rsidR="00116A74" w:rsidRPr="00116A74" w:rsidRDefault="00287946"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DIMENSIONE DEL CAMPIONE</w:t>
            </w:r>
            <w:r w:rsidR="00116A74" w:rsidRPr="00116A74">
              <w:rPr>
                <w:rFonts w:ascii="Times New Roman" w:eastAsia="Times New Roman" w:hAnsi="Times New Roman" w:cs="Times New Roman"/>
                <w:color w:val="000000"/>
                <w:lang w:eastAsia="it-IT"/>
              </w:rPr>
              <w:t xml:space="preserve"> &lt; 250</w:t>
            </w:r>
          </w:p>
        </w:tc>
        <w:tc>
          <w:tcPr>
            <w:tcW w:w="3459" w:type="dxa"/>
            <w:tcBorders>
              <w:top w:val="single" w:sz="4" w:space="0" w:color="4472C4"/>
              <w:left w:val="single" w:sz="4" w:space="0" w:color="4472C4"/>
              <w:bottom w:val="nil"/>
              <w:right w:val="single" w:sz="4" w:space="0" w:color="4472C4"/>
            </w:tcBorders>
            <w:shd w:val="clear" w:color="000000" w:fill="D9E1F2"/>
            <w:noWrap/>
            <w:hideMark/>
          </w:tcPr>
          <w:p w14:paraId="7E58F145" w14:textId="77777777"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 </w:t>
            </w:r>
          </w:p>
        </w:tc>
      </w:tr>
      <w:tr w:rsidR="00116A74" w:rsidRPr="00116A74" w14:paraId="5412743D" w14:textId="77777777" w:rsidTr="00116A74">
        <w:trPr>
          <w:trHeight w:val="1152"/>
        </w:trPr>
        <w:tc>
          <w:tcPr>
            <w:tcW w:w="4376" w:type="dxa"/>
            <w:tcBorders>
              <w:top w:val="single" w:sz="4" w:space="0" w:color="4472C4"/>
              <w:left w:val="single" w:sz="4" w:space="0" w:color="4472C4"/>
              <w:bottom w:val="nil"/>
              <w:right w:val="single" w:sz="4" w:space="0" w:color="4472C4"/>
            </w:tcBorders>
            <w:shd w:val="clear" w:color="auto" w:fill="auto"/>
            <w:noWrap/>
            <w:hideMark/>
          </w:tcPr>
          <w:p w14:paraId="156F0621" w14:textId="4178A9EF" w:rsidR="00116A74" w:rsidRPr="00116A74" w:rsidRDefault="009C4B45"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Sintetasi di ossido nitrico endoteliale</w:t>
            </w:r>
            <w:r w:rsidR="00116A74" w:rsidRPr="00116A74">
              <w:rPr>
                <w:rFonts w:ascii="Times New Roman" w:eastAsia="Times New Roman" w:hAnsi="Times New Roman" w:cs="Times New Roman"/>
                <w:color w:val="000000"/>
                <w:lang w:eastAsia="it-IT"/>
              </w:rPr>
              <w:t xml:space="preserve"> (eNOS)</w:t>
            </w:r>
          </w:p>
        </w:tc>
        <w:tc>
          <w:tcPr>
            <w:tcW w:w="3459" w:type="dxa"/>
            <w:tcBorders>
              <w:top w:val="single" w:sz="4" w:space="0" w:color="4472C4"/>
              <w:left w:val="single" w:sz="4" w:space="0" w:color="4472C4"/>
              <w:bottom w:val="nil"/>
              <w:right w:val="single" w:sz="4" w:space="0" w:color="4472C4"/>
            </w:tcBorders>
            <w:shd w:val="clear" w:color="000000" w:fill="FFFFFF"/>
            <w:hideMark/>
          </w:tcPr>
          <w:p w14:paraId="5F4ACFCA" w14:textId="71FF36B9" w:rsidR="00116A74" w:rsidRPr="00116A74" w:rsidRDefault="005C38BC" w:rsidP="00116A74">
            <w:pPr>
              <w:spacing w:after="0" w:line="240" w:lineRule="auto"/>
              <w:rPr>
                <w:rFonts w:ascii="Times New Roman" w:eastAsia="Times New Roman" w:hAnsi="Times New Roman" w:cs="Times New Roman"/>
                <w:color w:val="000000"/>
                <w:lang w:eastAsia="it-IT"/>
              </w:rPr>
            </w:pPr>
            <w:r w:rsidRPr="00F555AD">
              <w:rPr>
                <w:rFonts w:ascii="Times New Roman" w:eastAsia="Times New Roman" w:hAnsi="Times New Roman" w:cs="Times New Roman"/>
                <w:color w:val="000000"/>
                <w:lang w:eastAsia="it-IT"/>
              </w:rPr>
              <w:t>Sintesi di ossido nitrico, regolazione del tono delle cellule dell’endotelio vascolare, proliferazione cellulare, aggregazione piastrinica e adesione</w:t>
            </w:r>
          </w:p>
        </w:tc>
      </w:tr>
      <w:tr w:rsidR="00116A74" w:rsidRPr="00116A74" w14:paraId="15169AC6" w14:textId="77777777" w:rsidTr="00116A74">
        <w:trPr>
          <w:trHeight w:val="288"/>
        </w:trPr>
        <w:tc>
          <w:tcPr>
            <w:tcW w:w="4376" w:type="dxa"/>
            <w:tcBorders>
              <w:top w:val="single" w:sz="4" w:space="0" w:color="4472C4"/>
              <w:left w:val="single" w:sz="4" w:space="0" w:color="4472C4"/>
              <w:bottom w:val="nil"/>
              <w:right w:val="single" w:sz="4" w:space="0" w:color="4472C4"/>
            </w:tcBorders>
            <w:shd w:val="clear" w:color="auto" w:fill="auto"/>
            <w:noWrap/>
            <w:hideMark/>
          </w:tcPr>
          <w:p w14:paraId="63022BAA" w14:textId="6A62E3A7" w:rsidR="00116A74" w:rsidRPr="00116A74" w:rsidRDefault="005C38BC"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Fattore di necrosi tumorale</w:t>
            </w:r>
            <w:r w:rsidR="00116A74" w:rsidRPr="00116A74">
              <w:rPr>
                <w:rFonts w:ascii="Times New Roman" w:eastAsia="Times New Roman" w:hAnsi="Times New Roman" w:cs="Times New Roman"/>
                <w:color w:val="000000"/>
                <w:lang w:eastAsia="it-IT"/>
              </w:rPr>
              <w:t>-</w:t>
            </w:r>
            <w:r w:rsidR="009C4B45">
              <w:rPr>
                <w:rFonts w:ascii="Calibri" w:eastAsia="Times New Roman" w:hAnsi="Calibri" w:cs="Calibri"/>
                <w:color w:val="000000"/>
                <w:lang w:eastAsia="it-IT"/>
              </w:rPr>
              <w:t>α</w:t>
            </w:r>
            <w:r w:rsidR="00116A74" w:rsidRPr="00116A74">
              <w:rPr>
                <w:rFonts w:ascii="Times New Roman" w:eastAsia="Times New Roman" w:hAnsi="Times New Roman" w:cs="Times New Roman"/>
                <w:color w:val="000000"/>
                <w:lang w:eastAsia="it-IT"/>
              </w:rPr>
              <w:t>2 (TNF</w:t>
            </w:r>
            <w:r w:rsidR="009C4B45">
              <w:rPr>
                <w:rFonts w:ascii="Calibri" w:eastAsia="Times New Roman" w:hAnsi="Calibri" w:cs="Calibri"/>
                <w:color w:val="000000"/>
                <w:lang w:eastAsia="it-IT"/>
              </w:rPr>
              <w:t>α</w:t>
            </w:r>
            <w:r w:rsidR="00116A74" w:rsidRPr="00116A74">
              <w:rPr>
                <w:rFonts w:ascii="Times New Roman" w:eastAsia="Times New Roman" w:hAnsi="Times New Roman" w:cs="Times New Roman"/>
                <w:color w:val="000000"/>
                <w:lang w:eastAsia="it-IT"/>
              </w:rPr>
              <w:t>2)</w:t>
            </w:r>
          </w:p>
        </w:tc>
        <w:tc>
          <w:tcPr>
            <w:tcW w:w="3459" w:type="dxa"/>
            <w:tcBorders>
              <w:top w:val="single" w:sz="4" w:space="0" w:color="4472C4"/>
              <w:left w:val="single" w:sz="4" w:space="0" w:color="4472C4"/>
              <w:bottom w:val="nil"/>
              <w:right w:val="single" w:sz="4" w:space="0" w:color="4472C4"/>
            </w:tcBorders>
            <w:shd w:val="clear" w:color="000000" w:fill="FFFFFF"/>
            <w:noWrap/>
            <w:hideMark/>
          </w:tcPr>
          <w:p w14:paraId="6551FAFD" w14:textId="0FFB5566" w:rsidR="00116A74" w:rsidRPr="00116A74" w:rsidRDefault="005C38BC" w:rsidP="00116A74">
            <w:pPr>
              <w:spacing w:after="0" w:line="240" w:lineRule="auto"/>
              <w:rPr>
                <w:rFonts w:ascii="Times New Roman" w:eastAsia="Times New Roman" w:hAnsi="Times New Roman" w:cs="Times New Roman"/>
                <w:color w:val="000000"/>
                <w:lang w:eastAsia="it-IT"/>
              </w:rPr>
            </w:pPr>
            <w:r w:rsidRPr="00F555AD">
              <w:rPr>
                <w:rFonts w:ascii="Times New Roman" w:eastAsia="Times New Roman" w:hAnsi="Times New Roman" w:cs="Times New Roman"/>
                <w:color w:val="000000"/>
                <w:lang w:eastAsia="it-IT"/>
              </w:rPr>
              <w:t>Citochina proinfiammatoria pleotropica</w:t>
            </w:r>
          </w:p>
        </w:tc>
      </w:tr>
      <w:tr w:rsidR="00116A74" w:rsidRPr="00116A74" w14:paraId="2ED525F0" w14:textId="77777777" w:rsidTr="00116A74">
        <w:trPr>
          <w:trHeight w:val="1152"/>
        </w:trPr>
        <w:tc>
          <w:tcPr>
            <w:tcW w:w="4376" w:type="dxa"/>
            <w:tcBorders>
              <w:top w:val="single" w:sz="4" w:space="0" w:color="4472C4"/>
              <w:left w:val="single" w:sz="4" w:space="0" w:color="4472C4"/>
              <w:bottom w:val="nil"/>
              <w:right w:val="single" w:sz="4" w:space="0" w:color="4472C4"/>
            </w:tcBorders>
            <w:shd w:val="clear" w:color="auto" w:fill="auto"/>
            <w:noWrap/>
            <w:hideMark/>
          </w:tcPr>
          <w:p w14:paraId="1F3C4FC2" w14:textId="1448A044"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Interleu</w:t>
            </w:r>
            <w:r w:rsidR="00FC37AC">
              <w:rPr>
                <w:rFonts w:ascii="Times New Roman" w:eastAsia="Times New Roman" w:hAnsi="Times New Roman" w:cs="Times New Roman"/>
                <w:color w:val="000000"/>
                <w:lang w:eastAsia="it-IT"/>
              </w:rPr>
              <w:t>china</w:t>
            </w:r>
            <w:r w:rsidRPr="00116A74">
              <w:rPr>
                <w:rFonts w:ascii="Times New Roman" w:eastAsia="Times New Roman" w:hAnsi="Times New Roman" w:cs="Times New Roman"/>
                <w:color w:val="000000"/>
                <w:lang w:eastAsia="it-IT"/>
              </w:rPr>
              <w:t>-10</w:t>
            </w:r>
          </w:p>
        </w:tc>
        <w:tc>
          <w:tcPr>
            <w:tcW w:w="3459" w:type="dxa"/>
            <w:tcBorders>
              <w:top w:val="single" w:sz="4" w:space="0" w:color="4472C4"/>
              <w:left w:val="single" w:sz="4" w:space="0" w:color="4472C4"/>
              <w:bottom w:val="nil"/>
              <w:right w:val="single" w:sz="4" w:space="0" w:color="4472C4"/>
            </w:tcBorders>
            <w:shd w:val="clear" w:color="000000" w:fill="FFFFFF"/>
            <w:hideMark/>
          </w:tcPr>
          <w:p w14:paraId="67CC974C" w14:textId="385BA7EF" w:rsidR="00116A74" w:rsidRPr="00116A74" w:rsidRDefault="005C38BC" w:rsidP="00116A74">
            <w:pPr>
              <w:spacing w:after="0" w:line="240" w:lineRule="auto"/>
              <w:rPr>
                <w:rFonts w:ascii="Times New Roman" w:eastAsia="Times New Roman" w:hAnsi="Times New Roman" w:cs="Times New Roman"/>
                <w:color w:val="000000"/>
                <w:lang w:eastAsia="it-IT"/>
              </w:rPr>
            </w:pPr>
            <w:r w:rsidRPr="00F555AD">
              <w:rPr>
                <w:rFonts w:ascii="Times New Roman" w:eastAsia="Times New Roman" w:hAnsi="Times New Roman" w:cs="Times New Roman"/>
                <w:color w:val="000000"/>
                <w:lang w:eastAsia="it-IT"/>
              </w:rPr>
              <w:t>Regolazione dell’immunità Th1 e Th2, direziona verso risposta immunitaria Th2 inibendo la produzione di IL-12</w:t>
            </w:r>
          </w:p>
        </w:tc>
      </w:tr>
      <w:tr w:rsidR="00116A74" w:rsidRPr="00116A74" w14:paraId="17E1F259" w14:textId="77777777" w:rsidTr="00116A74">
        <w:trPr>
          <w:trHeight w:val="288"/>
        </w:trPr>
        <w:tc>
          <w:tcPr>
            <w:tcW w:w="4376" w:type="dxa"/>
            <w:tcBorders>
              <w:top w:val="single" w:sz="4" w:space="0" w:color="4472C4"/>
              <w:left w:val="single" w:sz="4" w:space="0" w:color="4472C4"/>
              <w:bottom w:val="single" w:sz="4" w:space="0" w:color="4472C4"/>
              <w:right w:val="single" w:sz="4" w:space="0" w:color="4472C4"/>
            </w:tcBorders>
            <w:shd w:val="clear" w:color="auto" w:fill="auto"/>
            <w:noWrap/>
            <w:hideMark/>
          </w:tcPr>
          <w:p w14:paraId="421D2E2C" w14:textId="1D46106B" w:rsidR="00116A74" w:rsidRPr="00116A74" w:rsidRDefault="00116A74" w:rsidP="00116A74">
            <w:pPr>
              <w:spacing w:after="0" w:line="240" w:lineRule="auto"/>
              <w:rPr>
                <w:rFonts w:ascii="Times New Roman" w:eastAsia="Times New Roman" w:hAnsi="Times New Roman" w:cs="Times New Roman"/>
                <w:color w:val="000000"/>
                <w:lang w:eastAsia="it-IT"/>
              </w:rPr>
            </w:pPr>
            <w:r w:rsidRPr="00116A74">
              <w:rPr>
                <w:rFonts w:ascii="Times New Roman" w:eastAsia="Times New Roman" w:hAnsi="Times New Roman" w:cs="Times New Roman"/>
                <w:color w:val="000000"/>
                <w:lang w:eastAsia="it-IT"/>
              </w:rPr>
              <w:t>Interleu</w:t>
            </w:r>
            <w:r w:rsidR="00FC37AC">
              <w:rPr>
                <w:rFonts w:ascii="Times New Roman" w:eastAsia="Times New Roman" w:hAnsi="Times New Roman" w:cs="Times New Roman"/>
                <w:color w:val="000000"/>
                <w:lang w:eastAsia="it-IT"/>
              </w:rPr>
              <w:t>china</w:t>
            </w:r>
            <w:r w:rsidRPr="00116A74">
              <w:rPr>
                <w:rFonts w:ascii="Times New Roman" w:eastAsia="Times New Roman" w:hAnsi="Times New Roman" w:cs="Times New Roman"/>
                <w:color w:val="000000"/>
                <w:lang w:eastAsia="it-IT"/>
              </w:rPr>
              <w:t>-18</w:t>
            </w:r>
          </w:p>
        </w:tc>
        <w:tc>
          <w:tcPr>
            <w:tcW w:w="3459" w:type="dxa"/>
            <w:tcBorders>
              <w:top w:val="single" w:sz="4" w:space="0" w:color="4472C4"/>
              <w:left w:val="single" w:sz="4" w:space="0" w:color="4472C4"/>
              <w:bottom w:val="single" w:sz="4" w:space="0" w:color="4472C4"/>
              <w:right w:val="single" w:sz="4" w:space="0" w:color="4472C4"/>
            </w:tcBorders>
            <w:shd w:val="clear" w:color="000000" w:fill="FFFFFF"/>
            <w:noWrap/>
            <w:hideMark/>
          </w:tcPr>
          <w:p w14:paraId="74811A7C" w14:textId="52DC9AB6" w:rsidR="00116A74" w:rsidRPr="00116A74" w:rsidRDefault="005C38BC" w:rsidP="00116A74">
            <w:pPr>
              <w:spacing w:after="0" w:line="240" w:lineRule="auto"/>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 xml:space="preserve">Differenziazione </w:t>
            </w:r>
            <w:r w:rsidR="00116A74" w:rsidRPr="00116A74">
              <w:rPr>
                <w:rFonts w:ascii="Times New Roman" w:eastAsia="Times New Roman" w:hAnsi="Times New Roman" w:cs="Times New Roman"/>
                <w:color w:val="000000"/>
                <w:lang w:eastAsia="it-IT"/>
              </w:rPr>
              <w:t>Th1</w:t>
            </w:r>
          </w:p>
        </w:tc>
      </w:tr>
    </w:tbl>
    <w:p w14:paraId="5006FA0D" w14:textId="77777777" w:rsidR="001A08BD" w:rsidRPr="00F555AD" w:rsidRDefault="001A08BD" w:rsidP="009464C3">
      <w:pPr>
        <w:spacing w:line="360" w:lineRule="auto"/>
        <w:rPr>
          <w:rFonts w:ascii="Times New Roman" w:hAnsi="Times New Roman" w:cs="Times New Roman"/>
        </w:rPr>
      </w:pPr>
    </w:p>
    <w:p w14:paraId="36B3A4EE"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lastRenderedPageBreak/>
        <w:t xml:space="preserve">L’ampio spettro di geni potenzialmente coinvolti nella patogenesi della AGC sottolinea comunque la complicata immunopatogenesi della malattia, che sarebbe dovuta ad alterazioni sia della risposta dell’immunità innata che di quella dell’immunità adattiva </w:t>
      </w:r>
      <w:r w:rsidR="007704CF"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eviouslyFormattedCitation":"&lt;sup&gt;22&lt;/sup&gt;"},"properties":{"noteIndex":0},"schema":"https://github.com/citation-style-language/schema/raw/master/csl-citation.json"}</w:instrText>
      </w:r>
      <w:r w:rsidR="007704CF"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22</w:t>
      </w:r>
      <w:r w:rsidR="007704CF" w:rsidRPr="00D970C3">
        <w:rPr>
          <w:rFonts w:ascii="Times New Roman" w:hAnsi="Times New Roman" w:cs="Times New Roman"/>
          <w:sz w:val="24"/>
          <w:szCs w:val="24"/>
        </w:rPr>
        <w:fldChar w:fldCharType="end"/>
      </w:r>
      <w:r w:rsidR="007704CF" w:rsidRPr="00D970C3">
        <w:rPr>
          <w:rFonts w:ascii="Times New Roman" w:hAnsi="Times New Roman" w:cs="Times New Roman"/>
          <w:sz w:val="24"/>
          <w:szCs w:val="24"/>
        </w:rPr>
        <w:t xml:space="preserve"> </w:t>
      </w:r>
      <w:r w:rsidR="007704CF"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7704CF"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11</w:t>
      </w:r>
      <w:r w:rsidR="007704CF"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24CB20FE"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È stato ipotizzato che il processo infiammatorio sia innescato da un’infezione (Parvovirus B19, Clamidia, Micoplasma pneumoniae) che causi perdita della self-tolleranza attraverso meccanismi di mi</w:t>
      </w:r>
      <w:r w:rsidR="008313B5" w:rsidRPr="00D970C3">
        <w:rPr>
          <w:rFonts w:ascii="Times New Roman" w:hAnsi="Times New Roman" w:cs="Times New Roman"/>
          <w:sz w:val="24"/>
          <w:szCs w:val="24"/>
        </w:rPr>
        <w:t>metismo</w:t>
      </w:r>
      <w:r w:rsidRPr="00D970C3">
        <w:rPr>
          <w:rFonts w:ascii="Times New Roman" w:hAnsi="Times New Roman" w:cs="Times New Roman"/>
          <w:sz w:val="24"/>
          <w:szCs w:val="24"/>
        </w:rPr>
        <w:t xml:space="preserve"> molecolare, attivazione bystander di linfociti T ed espansione epitopica. Questo innescherebbe una cascata infiammatoria Th1 CD4 mediata con ingresso delle cellule T attraverso i vasa vasorum, riconoscimento antigenico o autoantigenico (elastina o matrice cellulare), rilascio di citochine (in particolare INFɣ) e attivazione macrofagica con reazione granulomatosa e danno tissutale. Indagini su vasi affetti per individuare uno specifico antigene non hanno però dato risultati consistenti</w:t>
      </w:r>
      <w:r w:rsidR="004F5F3E" w:rsidRPr="00D970C3">
        <w:rPr>
          <w:rFonts w:ascii="Times New Roman" w:hAnsi="Times New Roman" w:cs="Times New Roman"/>
          <w:sz w:val="24"/>
          <w:szCs w:val="24"/>
        </w:rPr>
        <w:fldChar w:fldCharType="begin" w:fldLock="1"/>
      </w:r>
      <w:r w:rsidR="000A7A3E" w:rsidRPr="00D970C3">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4F5F3E" w:rsidRPr="00D970C3">
        <w:rPr>
          <w:rFonts w:ascii="Times New Roman" w:hAnsi="Times New Roman" w:cs="Times New Roman"/>
          <w:sz w:val="24"/>
          <w:szCs w:val="24"/>
        </w:rPr>
        <w:fldChar w:fldCharType="separate"/>
      </w:r>
      <w:r w:rsidR="004F5F3E" w:rsidRPr="00D970C3">
        <w:rPr>
          <w:rFonts w:ascii="Times New Roman" w:hAnsi="Times New Roman" w:cs="Times New Roman"/>
          <w:noProof/>
          <w:sz w:val="24"/>
          <w:szCs w:val="24"/>
          <w:vertAlign w:val="superscript"/>
        </w:rPr>
        <w:t>1</w:t>
      </w:r>
      <w:r w:rsidR="004F5F3E"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1FBD84A5"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A questo proposito R. L. Rhee et al. </w:t>
      </w:r>
      <w:r w:rsidR="006E0A8E" w:rsidRPr="00D970C3">
        <w:rPr>
          <w:rFonts w:ascii="Times New Roman" w:hAnsi="Times New Roman" w:cs="Times New Roman"/>
          <w:sz w:val="24"/>
          <w:szCs w:val="24"/>
        </w:rPr>
        <w:t xml:space="preserve">hanno </w:t>
      </w:r>
      <w:r w:rsidRPr="00D970C3">
        <w:rPr>
          <w:rFonts w:ascii="Times New Roman" w:hAnsi="Times New Roman" w:cs="Times New Roman"/>
          <w:sz w:val="24"/>
          <w:szCs w:val="24"/>
        </w:rPr>
        <w:t>pubblicato uno studio pubblicato</w:t>
      </w:r>
      <w:r w:rsidR="007704CF"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{"citationItems":[{"id":"ITEM-1","itemData":{"DOI":"10.1136/annrheumdis-2016-210152","author":[{"dropping-particle":"","family":"Rhee","given":"Rennie L","non-dropping-particle":"","parse-names":false,"suffix":""},{"dropping-particle":"","family":"Grayson","given":"Peter C","non-dropping-particle":"","parse-names":false,"suffix":""},{"dropping-particle":"","family":"Merkel","given":"Peter A","non-dropping-particle":"","parse-names":false,"suffix":""},{"dropping-particle":"","family":"Tomasson","given":"Gunnar","non-dropping-particle":"","parse-names":false,"suffix":""}],"id":"ITEM-1","issued":{"date-parts":[["2017"]]},"page":"1031-1035","title":"Infections and the risk of incident giant cell arteritis : a population-based , case-control study","type":"article-journal"},"uris":["http://www.mendeley.com/documents/?uuid=e6171854-b3f5-4e6f-9844-804756a7d34c"]}],"mendeley":{"formattedCitation":"&lt;sup&gt;23&lt;/sup&gt;","plainTextFormattedCitation":"23","previouslyFormattedCitation":"&lt;sup&gt;23&lt;/sup&gt;"},"properties":{"noteIndex":0},"schema":"https://github.com/citation-style-language/schema/raw/master/csl-citation.json"}</w:instrText>
      </w:r>
      <w:r w:rsidR="007704CF"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23</w:t>
      </w:r>
      <w:r w:rsidR="007704CF"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449675A6" w14:textId="77777777" w:rsidR="001A08BD" w:rsidRPr="00D970C3" w:rsidRDefault="006E0A8E"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E</w:t>
      </w:r>
      <w:r w:rsidR="001A08BD" w:rsidRPr="00D970C3">
        <w:rPr>
          <w:rFonts w:ascii="Times New Roman" w:hAnsi="Times New Roman" w:cs="Times New Roman"/>
          <w:sz w:val="24"/>
          <w:szCs w:val="24"/>
        </w:rPr>
        <w:t>ffettuato con la metodologia caso-controllo</w:t>
      </w:r>
      <w:r w:rsidRPr="00D970C3">
        <w:rPr>
          <w:rFonts w:ascii="Times New Roman" w:hAnsi="Times New Roman" w:cs="Times New Roman"/>
          <w:sz w:val="24"/>
          <w:szCs w:val="24"/>
        </w:rPr>
        <w:t>, su</w:t>
      </w:r>
      <w:r w:rsidR="001A08BD" w:rsidRPr="00D970C3">
        <w:rPr>
          <w:rFonts w:ascii="Times New Roman" w:hAnsi="Times New Roman" w:cs="Times New Roman"/>
          <w:sz w:val="24"/>
          <w:szCs w:val="24"/>
        </w:rPr>
        <w:t xml:space="preserve"> pazienti che avevano ricevuto cure mediche in un periodo compreso fra il 1994 e il 2015, campionati usando “The Health Improvement Network” (THIN), un database del Regno Unito che contiene le cartelle cliniche di più di 11 milioni di persone e dunque rappresentativo della popolazione generale inglese.  </w:t>
      </w:r>
    </w:p>
    <w:p w14:paraId="5B2C34A0"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In particolare, con l’utilizzo di un algoritmo, sono stati selezionati come casi 4559 pazienti di età intorno ai 50 anni, che riportassero nel database un codice che indicasse AGC e una prescrizione per GC, indicando come utilizzo orale di GC orali, almeno 2 prescrizioni: una entro i 6 mesi dalla diagnosi e una a 6 mesi dalla </w:t>
      </w:r>
      <w:r w:rsidRPr="00D970C3">
        <w:rPr>
          <w:rFonts w:ascii="Times New Roman" w:hAnsi="Times New Roman" w:cs="Times New Roman"/>
          <w:sz w:val="24"/>
          <w:szCs w:val="24"/>
        </w:rPr>
        <w:lastRenderedPageBreak/>
        <w:t>prima prescrizione. Per ogni paziente individuato come caso venivano abbinati 5 controlli (per un totale di 22795 controlli) selezionati secondo età (entro i 5 anni di differenza dal caso), sesso e MMG.</w:t>
      </w:r>
    </w:p>
    <w:p w14:paraId="49EBB75D"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Sono stati prese in considerazione infezioni da herpes zoster virus (VZV) e 5 tr</w:t>
      </w:r>
      <w:r w:rsidR="006E0A8E" w:rsidRPr="00D970C3">
        <w:rPr>
          <w:rFonts w:ascii="Times New Roman" w:hAnsi="Times New Roman" w:cs="Times New Roman"/>
          <w:sz w:val="24"/>
          <w:szCs w:val="24"/>
        </w:rPr>
        <w:t>a</w:t>
      </w:r>
      <w:r w:rsidRPr="00D970C3">
        <w:rPr>
          <w:rFonts w:ascii="Times New Roman" w:hAnsi="Times New Roman" w:cs="Times New Roman"/>
          <w:sz w:val="24"/>
          <w:szCs w:val="24"/>
        </w:rPr>
        <w:t xml:space="preserve"> le infezioni più comuni, una per ognuno dei diversi apparati (respiratorio, urinario, gastrointestinale, congiuntiva e pelle</w:t>
      </w:r>
      <w:r w:rsidR="006E0A8E" w:rsidRPr="00D970C3">
        <w:rPr>
          <w:rFonts w:ascii="Times New Roman" w:hAnsi="Times New Roman" w:cs="Times New Roman"/>
          <w:sz w:val="24"/>
          <w:szCs w:val="24"/>
        </w:rPr>
        <w:t>,</w:t>
      </w:r>
      <w:r w:rsidRPr="00D970C3">
        <w:rPr>
          <w:rFonts w:ascii="Times New Roman" w:hAnsi="Times New Roman" w:cs="Times New Roman"/>
          <w:sz w:val="24"/>
          <w:szCs w:val="24"/>
        </w:rPr>
        <w:t xml:space="preserve"> tessuti molli)</w:t>
      </w:r>
      <w:r w:rsidR="006E0A8E" w:rsidRPr="00D970C3">
        <w:rPr>
          <w:rFonts w:ascii="Times New Roman" w:hAnsi="Times New Roman" w:cs="Times New Roman"/>
          <w:sz w:val="24"/>
          <w:szCs w:val="24"/>
        </w:rPr>
        <w:t xml:space="preserve"> </w:t>
      </w:r>
      <w:r w:rsidRPr="00D970C3">
        <w:rPr>
          <w:rFonts w:ascii="Times New Roman" w:hAnsi="Times New Roman" w:cs="Times New Roman"/>
          <w:sz w:val="24"/>
          <w:szCs w:val="24"/>
        </w:rPr>
        <w:t>alle quali è esposta la popolazione generale.</w:t>
      </w:r>
    </w:p>
    <w:p w14:paraId="72E6516F"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Vista la possibilità di errore o ritardi nella diagnosi di AGC, non sono state considerate le infezioni avvenute entro i 6 mesi dalla diagnosi di arterite.</w:t>
      </w:r>
    </w:p>
    <w:p w14:paraId="08CF09B0"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Sono stati presi in considerazione come modificatori dei dati riguardo le precedenti infezioni: vaccinazione contro VZV (non c’erano differenze in termini di percentuale dei soggetti che l’avevano ricevuta nei due gruppi), precedenti terapie immunosoppressive entro i 6 mesi precedenti, precedente uso di alcolici, fumo e altre comorbidità catalogate usando il Charlson Comorbidity Index.</w:t>
      </w:r>
    </w:p>
    <w:p w14:paraId="09B349E1"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I risultati hanno confermato l’esistenza di una significativa associazione tra ognuna delle infezioni prese in considerazione e il rischio di sviluppare AGC. Dopo una stratificazione basata sul periodo in cui è stata contratta l’infezione, per il VZV è stata riconosciuta questa correlazione per le infezioni avvenute in un periodo compreso dai 6 mesi e non oltre 5-10 anni precedenti la data di diagnosi di arterite, suggerendo che comunque il VZV non giochi un ruolo di maggior importanza nella patogenesi </w:t>
      </w:r>
      <w:r w:rsidR="007704CF"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author":[{"dropping-particle":"","family":"Gilden","given":"Don","non-dropping-particle":"","parse-names":false,"suffix":""},{"dropping-particle":"","family":"White","given":"Teresa","non-dropping-particle":"","parse-names":false,"suffix":""},{"dropping-particle":"","family":"Khmeleva","given":"Nelly","non-dropping-particle":"","parse-names":false,"suffix":""},{"dropping-particle":"","family":"Heintzman","given":"Anna","non-dropping-particle":"","parse-names":false,"suffix":""},{"dropping-particle":"","family":"Choe","given":"Alexander","non-dropping-particle":"","parse-names":false,"suffix":""},{"dropping-particle":"","family":"Boyer","given":"Philip J","non-dropping-particle":"","parse-names":false,"suffix":""},{"dropping-particle":"","family":"Grose","given":"Charles","non-dropping-particle":"","parse-names":false,"suffix":""},{"dropping-particle":"","family":"Carpenter","given":"John E","non-dropping-particle":"","parse-names":false,"suffix":""},{"dropping-particle":"","family":"Rempel","given":"April","non-dropping-particle":"","parse-names":false,"suffix":""},{"dropping-particle":"","family":"Bos","given":"Nathan","non-dropping-particle":"","parse-names":false,"suffix":""},{"dropping-particle":"","family":"Lear-kaul","given":"Kelly","non-dropping-particle":"","parse-names":false,"suffix":""},{"dropping-particle":"","family":"Holmes","given":"Dawn B","non-dropping-particle":"","parse-names":false,"suffix":""},{"dropping-particle":"","family":"Bennett","given":"Jeffrey L","non-dropping-particle":"","parse-names":false,"suffix":""},{"dropping-particle":"","family":"Cohrs","given":"Randall J","non-dropping-particle":"","parse-names":false,"suffix":""},{"dropping-particle":"","family":"Mahalingam","given":"Ravi","non-dropping-particle":"","parse-names":false,"suffix":""},{"dropping-particle":"","family":"Eberhart","given":"Charles G","non-dropping-particle":"","parse-names":false,"suffix":""},{"dropping-particle":"","family":"Bockelman","given":"Brian","non-dropping-particle":"","parse-names":false,"suffix":""},{"dropping-particle":"","family":"Poppiti","given":"Robert J","non-dropping-particle":"","parse-names":false,"suffix":""},{"dropping-particle":"","family":"Amato","given":"Malena","non-dropping-particle":"","parse-names":false,"suffix":""}],"id":"ITEM-1","issued":{"date-parts":[["2015"]]},"title":"Prevalence and distribution of VZV in temporal arteries of patients with giant cell arteritis","type":"article-journal"},"uris":["http://www.mendeley.com/documents/?uuid=9b17a97a-52c4-495d-898e-5167d759b75e"]}],"mendeley":{"formattedCitation":"&lt;sup&gt;24&lt;/sup&gt;","plainTextFormattedCitation":"24","previouslyFormattedCitation":"&lt;sup&gt;24&lt;/sup&gt;"},"properties":{"noteIndex":0},"schema":"https://github.com/citation-style-language/schema/raw/master/csl-citation.json"}</w:instrText>
      </w:r>
      <w:r w:rsidR="007704CF"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24</w:t>
      </w:r>
      <w:r w:rsidR="007704CF"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Per le altre infezioni, invece, l’associazione con l’incidenza di AGC è risultata più significativa, superiore se contratte entro un </w:t>
      </w:r>
      <w:r w:rsidRPr="00D970C3">
        <w:rPr>
          <w:rFonts w:ascii="Times New Roman" w:hAnsi="Times New Roman" w:cs="Times New Roman"/>
          <w:sz w:val="24"/>
          <w:szCs w:val="24"/>
        </w:rPr>
        <w:lastRenderedPageBreak/>
        <w:t>anno dalla data di diagnosi di arterite e sovrapponibile, a prescindere da quando sono state contratte, per qualsiasi periodo oltre l’anno precedente la diagnosi.</w:t>
      </w:r>
    </w:p>
    <w:p w14:paraId="3E260545"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In particolare, per quanto riguarda le infezioni da VZV, queste erano più frequenti nel gruppo dei soggetti con diagnosi di AGC rispetto al gruppo di controllo (9% vs 7% IRR 1,17 p&lt;0,01), allo stesso modo le altre patologie infettive risultavano più frequenti nel gruppo di pazienti con diagnosi di arterite (68% vs 61% IRR 1,26 p&lt;0,01).</w:t>
      </w:r>
    </w:p>
    <w:p w14:paraId="53A4FB50"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È stato inoltre riscontrato che l’incidenza delle infezioni si alzi solo modestamente dopo la diagnosi, e quindi l’inizio della terapia con GC, suggerendo dunque che il solo utilizzo di GC non possa spiegare l’aumento di associazione fra AGC e infezioni.</w:t>
      </w:r>
    </w:p>
    <w:p w14:paraId="7B49FE55" w14:textId="77777777" w:rsidR="001A08BD" w:rsidRPr="00D970C3" w:rsidRDefault="001A08BD"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Il recente riscontro di VZV nelle biopsie dell’arteria temporale, anche senza manifestazioni cliniche dell’infezione ha inoltre dimostrato un debole correlazione fra questo virus e un suo possibile ruolo nella patogenesi della malattia quando si consideravano infezioni insorte entro i 6 mesi dalla diagnosi nonostante tramite questo studio non sia stato possibile comprendere se questi reperti in corso di biopsia siano dovuti o a forme subcliniche o latenti (senza manifestazioni cutanee) o a riattivazioni di VZV in corso di AGC.</w:t>
      </w:r>
    </w:p>
    <w:p w14:paraId="60AEEDA6" w14:textId="77777777" w:rsidR="00D24301" w:rsidRPr="00D970C3" w:rsidRDefault="00D24301" w:rsidP="00D970C3">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A supporto della teoria che VZV abbia un ruolo di trigger nella immunopatologia dell’AGC, gli antigeni di questo virus sono stati rilevati nelle skip-areas di molte biopsie dell’arteria temporale positive per AGC; dunque un trattamento con antivirali associati alla normale terapia con GC potrebbe conferire dei benefici </w:t>
      </w:r>
      <w:r w:rsidRPr="00D970C3">
        <w:rPr>
          <w:rFonts w:ascii="Times New Roman" w:hAnsi="Times New Roman" w:cs="Times New Roman"/>
          <w:sz w:val="24"/>
          <w:szCs w:val="24"/>
        </w:rPr>
        <w:lastRenderedPageBreak/>
        <w:t xml:space="preserve">addizionali in questi pazienti, anche se la posologia ottimale di antivirali deve essere ancora determinata </w:t>
      </w:r>
      <w:r w:rsidR="007704CF"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author":[{"dropping-particle":"","family":"Gilden","given":"Don","non-dropping-particle":"","parse-names":false,"suffix":""},{"dropping-particle":"","family":"White","given":"Teresa","non-dropping-particle":"","parse-names":false,"suffix":""},{"dropping-particle":"","family":"Khmeleva","given":"Nelly","non-dropping-particle":"","parse-names":false,"suffix":""},{"dropping-particle":"","family":"Heintzman","given":"Anna","non-dropping-particle":"","parse-names":false,"suffix":""},{"dropping-particle":"","family":"Choe","given":"Alexander","non-dropping-particle":"","parse-names":false,"suffix":""},{"dropping-particle":"","family":"Boyer","given":"Philip J","non-dropping-particle":"","parse-names":false,"suffix":""},{"dropping-particle":"","family":"Grose","given":"Charles","non-dropping-particle":"","parse-names":false,"suffix":""},{"dropping-particle":"","family":"Carpenter","given":"John E","non-dropping-particle":"","parse-names":false,"suffix":""},{"dropping-particle":"","family":"Rempel","given":"April","non-dropping-particle":"","parse-names":false,"suffix":""},{"dropping-particle":"","family":"Bos","given":"Nathan","non-dropping-particle":"","parse-names":false,"suffix":""},{"dropping-particle":"","family":"Lear-kaul","given":"Kelly","non-dropping-particle":"","parse-names":false,"suffix":""},{"dropping-particle":"","family":"Holmes","given":"Dawn B","non-dropping-particle":"","parse-names":false,"suffix":""},{"dropping-particle":"","family":"Bennett","given":"Jeffrey L","non-dropping-particle":"","parse-names":false,"suffix":""},{"dropping-particle":"","family":"Cohrs","given":"Randall J","non-dropping-particle":"","parse-names":false,"suffix":""},{"dropping-particle":"","family":"Mahalingam","given":"Ravi","non-dropping-particle":"","parse-names":false,"suffix":""},{"dropping-particle":"","family":"Eberhart","given":"Charles G","non-dropping-particle":"","parse-names":false,"suffix":""},{"dropping-particle":"","family":"Bockelman","given":"Brian","non-dropping-particle":"","parse-names":false,"suffix":""},{"dropping-particle":"","family":"Poppiti","given":"Robert J","non-dropping-particle":"","parse-names":false,"suffix":""},{"dropping-particle":"","family":"Amato","given":"Malena","non-dropping-particle":"","parse-names":false,"suffix":""}],"id":"ITEM-1","issued":{"date-parts":[["2015"]]},"title":"Prevalence and distribution of VZV in temporal arteries of patients with giant cell arteritis","type":"article-journal"},"uris":["http://www.mendeley.com/documents/?uuid=9b17a97a-52c4-495d-898e-5167d759b75e"]}],"mendeley":{"formattedCitation":"&lt;sup&gt;24&lt;/sup&gt;","plainTextFormattedCitation":"24","previouslyFormattedCitation":"&lt;sup&gt;24&lt;/sup&gt;"},"properties":{"noteIndex":0},"schema":"https://github.com/citation-style-language/schema/raw/master/csl-citation.json"}</w:instrText>
      </w:r>
      <w:r w:rsidR="007704CF"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24</w:t>
      </w:r>
      <w:r w:rsidR="007704CF"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31DFF35D" w14:textId="77777777" w:rsidR="006B284B" w:rsidRDefault="006B284B" w:rsidP="009464C3">
      <w:pPr>
        <w:spacing w:line="360" w:lineRule="auto"/>
        <w:rPr>
          <w:rFonts w:ascii="Times New Roman" w:hAnsi="Times New Roman" w:cs="Times New Roman"/>
          <w:color w:val="FF0000"/>
        </w:rPr>
      </w:pPr>
      <w:r>
        <w:rPr>
          <w:rFonts w:ascii="Times New Roman" w:hAnsi="Times New Roman" w:cs="Times New Roman"/>
          <w:noProof/>
          <w:color w:val="FF0000"/>
          <w:lang w:eastAsia="it-IT"/>
        </w:rPr>
        <w:drawing>
          <wp:inline distT="0" distB="0" distL="0" distR="0" wp14:anchorId="259D8410" wp14:editId="26E02052">
            <wp:extent cx="3825240" cy="231748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UROLOGY2014639658FF3.jpg"/>
                    <pic:cNvPicPr/>
                  </pic:nvPicPr>
                  <pic:blipFill>
                    <a:blip r:embed="rId9">
                      <a:extLst>
                        <a:ext uri="{28A0092B-C50C-407E-A947-70E740481C1C}">
                          <a14:useLocalDpi xmlns:a14="http://schemas.microsoft.com/office/drawing/2010/main" val="0"/>
                        </a:ext>
                      </a:extLst>
                    </a:blip>
                    <a:stretch>
                      <a:fillRect/>
                    </a:stretch>
                  </pic:blipFill>
                  <pic:spPr>
                    <a:xfrm>
                      <a:off x="0" y="0"/>
                      <a:ext cx="3889858" cy="2356629"/>
                    </a:xfrm>
                    <a:prstGeom prst="rect">
                      <a:avLst/>
                    </a:prstGeom>
                  </pic:spPr>
                </pic:pic>
              </a:graphicData>
            </a:graphic>
          </wp:inline>
        </w:drawing>
      </w:r>
    </w:p>
    <w:p w14:paraId="77880C80" w14:textId="77777777" w:rsidR="00EF27B7" w:rsidRPr="001D3E58" w:rsidRDefault="006B284B" w:rsidP="006B284B">
      <w:pPr>
        <w:spacing w:after="0" w:line="240" w:lineRule="auto"/>
        <w:rPr>
          <w:rFonts w:ascii="Times New Roman" w:eastAsia="Times New Roman" w:hAnsi="Times New Roman" w:cs="Times New Roman"/>
          <w:b/>
          <w:bCs/>
          <w:sz w:val="20"/>
          <w:szCs w:val="20"/>
          <w:shd w:val="clear" w:color="auto" w:fill="FFFFFF"/>
          <w:lang w:eastAsia="it-IT"/>
        </w:rPr>
      </w:pPr>
      <w:r w:rsidRPr="001D3E58">
        <w:rPr>
          <w:rFonts w:ascii="Times New Roman" w:hAnsi="Times New Roman" w:cs="Times New Roman"/>
          <w:b/>
        </w:rPr>
        <w:t>Figura 1.</w:t>
      </w:r>
      <w:r w:rsidRPr="001D3E58">
        <w:rPr>
          <w:rFonts w:ascii="Times New Roman" w:hAnsi="Times New Roman" w:cs="Times New Roman"/>
        </w:rPr>
        <w:t xml:space="preserve"> </w:t>
      </w:r>
      <w:r w:rsidRPr="001D3E58">
        <w:rPr>
          <w:rFonts w:ascii="Times New Roman" w:hAnsi="Times New Roman" w:cs="Times New Roman"/>
          <w:sz w:val="20"/>
          <w:szCs w:val="20"/>
        </w:rPr>
        <w:t>Esame istologico di una biopsia dell’arte</w:t>
      </w:r>
      <w:r w:rsidR="00EF27B7" w:rsidRPr="001D3E58">
        <w:rPr>
          <w:rFonts w:ascii="Times New Roman" w:hAnsi="Times New Roman" w:cs="Times New Roman"/>
          <w:sz w:val="20"/>
          <w:szCs w:val="20"/>
        </w:rPr>
        <w:t>ri</w:t>
      </w:r>
      <w:r w:rsidRPr="001D3E58">
        <w:rPr>
          <w:rFonts w:ascii="Times New Roman" w:hAnsi="Times New Roman" w:cs="Times New Roman"/>
          <w:sz w:val="20"/>
          <w:szCs w:val="20"/>
        </w:rPr>
        <w:t xml:space="preserve">a temporale positiva per AGC in cui </w:t>
      </w:r>
      <w:r w:rsidR="00EF27B7" w:rsidRPr="001D3E58">
        <w:rPr>
          <w:rFonts w:ascii="Times New Roman" w:hAnsi="Times New Roman" w:cs="Times New Roman"/>
          <w:sz w:val="20"/>
          <w:szCs w:val="20"/>
        </w:rPr>
        <w:t xml:space="preserve">sono stati individuati gli antigeni del VZV </w:t>
      </w:r>
      <w:r w:rsidR="007704CF" w:rsidRPr="001D3E58">
        <w:rPr>
          <w:rFonts w:ascii="Times New Roman" w:hAnsi="Times New Roman" w:cs="Times New Roman"/>
          <w:sz w:val="20"/>
          <w:szCs w:val="20"/>
        </w:rPr>
        <w:fldChar w:fldCharType="begin" w:fldLock="1"/>
      </w:r>
      <w:r w:rsidR="00F66ECC" w:rsidRPr="001D3E58">
        <w:rPr>
          <w:rFonts w:ascii="Times New Roman" w:hAnsi="Times New Roman" w:cs="Times New Roman"/>
          <w:sz w:val="20"/>
          <w:szCs w:val="20"/>
        </w:rPr>
        <w:instrText>ADDIN CSL_CITATION {"citationItems":[{"id":"ITEM-1","itemData":{"author":[{"dropping-particle":"","family":"Gilden","given":"Don","non-dropping-particle":"","parse-names":false,"suffix":""},{"dropping-particle":"","family":"White","given":"Teresa","non-dropping-particle":"","parse-names":false,"suffix":""},{"dropping-particle":"","family":"Khmeleva","given":"Nelly","non-dropping-particle":"","parse-names":false,"suffix":""},{"dropping-particle":"","family":"Heintzman","given":"Anna","non-dropping-particle":"","parse-names":false,"suffix":""},{"dropping-particle":"","family":"Choe","given":"Alexander","non-dropping-particle":"","parse-names":false,"suffix":""},{"dropping-particle":"","family":"Boyer","given":"Philip J","non-dropping-particle":"","parse-names":false,"suffix":""},{"dropping-particle":"","family":"Grose","given":"Charles","non-dropping-particle":"","parse-names":false,"suffix":""},{"dropping-particle":"","family":"Carpenter","given":"John E","non-dropping-particle":"","parse-names":false,"suffix":""},{"dropping-particle":"","family":"Rempel","given":"April","non-dropping-particle":"","parse-names":false,"suffix":""},{"dropping-particle":"","family":"Bos","given":"Nathan","non-dropping-particle":"","parse-names":false,"suffix":""},{"dropping-particle":"","family":"Lear-kaul","given":"Kelly","non-dropping-particle":"","parse-names":false,"suffix":""},{"dropping-particle":"","family":"Holmes","given":"Dawn B","non-dropping-particle":"","parse-names":false,"suffix":""},{"dropping-particle":"","family":"Bennett","given":"Jeffrey L","non-dropping-particle":"","parse-names":false,"suffix":""},{"dropping-particle":"","family":"Cohrs","given":"Randall J","non-dropping-particle":"","parse-names":false,"suffix":""},{"dropping-particle":"","family":"Mahalingam","given":"Ravi","non-dropping-particle":"","parse-names":false,"suffix":""},{"dropping-particle":"","family":"Eberhart","given":"Charles G","non-dropping-particle":"","parse-names":false,"suffix":""},{"dropping-particle":"","family":"Bockelman","given":"Brian","non-dropping-particle":"","parse-names":false,"suffix":""},{"dropping-particle":"","family":"Poppiti","given":"Robert J","non-dropping-particle":"","parse-names":false,"suffix":""},{"dropping-particle":"","family":"Amato","given":"Malena","non-dropping-particle":"","parse-names":false,"suffix":""}],"id":"ITEM-1","issued":{"date-parts":[["2015"]]},"title":"Prevalence and distribution of VZV in temporal arteries of patients with giant cell arteritis","type":"article-journal"},"uris":["http://www.mendeley.com/documents/?uuid=9b17a97a-52c4-495d-898e-5167d759b75e"]}],"mendeley":{"formattedCitation":"&lt;sup&gt;24&lt;/sup&gt;","plainTextFormattedCitation":"24","previouslyFormattedCitation":"&lt;sup&gt;24&lt;/sup&gt;"},"properties":{"noteIndex":0},"schema":"https://github.com/citation-style-language/schema/raw/master/csl-citation.json"}</w:instrText>
      </w:r>
      <w:r w:rsidR="007704CF" w:rsidRPr="001D3E58">
        <w:rPr>
          <w:rFonts w:ascii="Times New Roman" w:hAnsi="Times New Roman" w:cs="Times New Roman"/>
          <w:sz w:val="20"/>
          <w:szCs w:val="20"/>
        </w:rPr>
        <w:fldChar w:fldCharType="separate"/>
      </w:r>
      <w:r w:rsidR="00C41B3B" w:rsidRPr="001D3E58">
        <w:rPr>
          <w:rFonts w:ascii="Times New Roman" w:hAnsi="Times New Roman" w:cs="Times New Roman"/>
          <w:noProof/>
          <w:sz w:val="20"/>
          <w:szCs w:val="20"/>
          <w:vertAlign w:val="superscript"/>
        </w:rPr>
        <w:t>24</w:t>
      </w:r>
      <w:r w:rsidR="007704CF" w:rsidRPr="001D3E58">
        <w:rPr>
          <w:rFonts w:ascii="Times New Roman" w:hAnsi="Times New Roman" w:cs="Times New Roman"/>
          <w:sz w:val="20"/>
          <w:szCs w:val="20"/>
        </w:rPr>
        <w:fldChar w:fldCharType="end"/>
      </w:r>
      <w:r w:rsidR="00FD4A88" w:rsidRPr="001D3E58">
        <w:rPr>
          <w:rFonts w:ascii="Times New Roman" w:hAnsi="Times New Roman" w:cs="Times New Roman"/>
          <w:sz w:val="20"/>
          <w:szCs w:val="20"/>
        </w:rPr>
        <w:t>.</w:t>
      </w:r>
    </w:p>
    <w:p w14:paraId="395482E9" w14:textId="77777777" w:rsidR="006B284B" w:rsidRPr="001D3E58" w:rsidRDefault="00EF27B7" w:rsidP="00EF27B7">
      <w:pPr>
        <w:pStyle w:val="Paragrafoelenco"/>
        <w:numPr>
          <w:ilvl w:val="0"/>
          <w:numId w:val="44"/>
        </w:numPr>
        <w:spacing w:after="0" w:line="240" w:lineRule="auto"/>
        <w:rPr>
          <w:rFonts w:ascii="Times New Roman" w:eastAsia="Times New Roman" w:hAnsi="Times New Roman"/>
          <w:sz w:val="20"/>
          <w:szCs w:val="20"/>
          <w:lang w:eastAsia="it-IT"/>
        </w:rPr>
      </w:pPr>
      <w:r w:rsidRPr="001D3E58">
        <w:rPr>
          <w:rFonts w:ascii="Times New Roman" w:eastAsia="Times New Roman" w:hAnsi="Times New Roman"/>
          <w:sz w:val="20"/>
          <w:szCs w:val="20"/>
          <w:lang w:eastAsia="it-IT"/>
        </w:rPr>
        <w:t>Gli antigeni del VZV sono stati individuati nelle biopsie delle arterie temporali mediante immunoistochimica tramite la colorazione con ematossilina ed eosina (H&amp;E).</w:t>
      </w:r>
    </w:p>
    <w:p w14:paraId="7A2EFA96" w14:textId="77777777" w:rsidR="00EF27B7" w:rsidRPr="001D3E58" w:rsidRDefault="00FD4A88" w:rsidP="00EF27B7">
      <w:pPr>
        <w:pStyle w:val="Paragrafoelenco"/>
        <w:numPr>
          <w:ilvl w:val="0"/>
          <w:numId w:val="44"/>
        </w:numPr>
        <w:spacing w:after="0" w:line="240" w:lineRule="auto"/>
        <w:rPr>
          <w:rFonts w:ascii="Times New Roman" w:eastAsia="Times New Roman" w:hAnsi="Times New Roman"/>
          <w:sz w:val="20"/>
          <w:szCs w:val="20"/>
          <w:lang w:eastAsia="it-IT"/>
        </w:rPr>
      </w:pPr>
      <w:r w:rsidRPr="001D3E58">
        <w:rPr>
          <w:rFonts w:ascii="Times New Roman" w:eastAsia="Times New Roman" w:hAnsi="Times New Roman"/>
          <w:sz w:val="20"/>
          <w:szCs w:val="20"/>
          <w:lang w:eastAsia="it-IT"/>
        </w:rPr>
        <w:t>Non sono stati individuati anticorpi IgG1</w:t>
      </w:r>
    </w:p>
    <w:p w14:paraId="77503371" w14:textId="77777777" w:rsidR="00FD4A88" w:rsidRPr="001D3E58" w:rsidRDefault="00FD4A88" w:rsidP="00EF27B7">
      <w:pPr>
        <w:pStyle w:val="Paragrafoelenco"/>
        <w:numPr>
          <w:ilvl w:val="0"/>
          <w:numId w:val="44"/>
        </w:numPr>
        <w:spacing w:after="0" w:line="240" w:lineRule="auto"/>
        <w:rPr>
          <w:rFonts w:ascii="Times New Roman" w:eastAsia="Times New Roman" w:hAnsi="Times New Roman"/>
          <w:sz w:val="20"/>
          <w:szCs w:val="20"/>
          <w:lang w:eastAsia="it-IT"/>
        </w:rPr>
      </w:pPr>
      <w:r w:rsidRPr="001D3E58">
        <w:rPr>
          <w:rFonts w:ascii="Times New Roman" w:eastAsia="Times New Roman" w:hAnsi="Times New Roman"/>
          <w:sz w:val="20"/>
          <w:szCs w:val="20"/>
          <w:lang w:eastAsia="it-IT"/>
        </w:rPr>
        <w:t>Sono stati trovati antigeni del VZV in alcune sezioni di quasi tutte le biopsie di arterie temporali positive. Nelle sezioni adiacenti la colorazione con H&amp;E rivelava il classico aspetto patologico dell’AGC: infiammazione, necrosi della tonaca media e cellule giganti.</w:t>
      </w:r>
    </w:p>
    <w:p w14:paraId="5AD26611" w14:textId="77777777" w:rsidR="00D24301" w:rsidRPr="001D3E58" w:rsidRDefault="00D24301" w:rsidP="009464C3">
      <w:pPr>
        <w:spacing w:line="360" w:lineRule="auto"/>
        <w:rPr>
          <w:rFonts w:ascii="Times New Roman" w:eastAsia="Times New Roman" w:hAnsi="Times New Roman" w:cs="Times New Roman"/>
          <w:sz w:val="20"/>
          <w:szCs w:val="20"/>
          <w:lang w:eastAsia="it-IT"/>
        </w:rPr>
      </w:pPr>
    </w:p>
    <w:p w14:paraId="54A2894B" w14:textId="641AC8BC" w:rsidR="00D970C3" w:rsidRDefault="00D970C3">
      <w:pPr>
        <w:rPr>
          <w:rFonts w:ascii="Times New Roman" w:hAnsi="Times New Roman" w:cs="Times New Roman"/>
        </w:rPr>
      </w:pPr>
      <w:r>
        <w:rPr>
          <w:rFonts w:ascii="Times New Roman" w:hAnsi="Times New Roman" w:cs="Times New Roman"/>
        </w:rPr>
        <w:br w:type="page"/>
      </w:r>
    </w:p>
    <w:p w14:paraId="7A79EA65"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lastRenderedPageBreak/>
        <w:t>Ci sono diverse possibili spiegazioni per l’associazione fra infezione e sviluppo di AGC:</w:t>
      </w:r>
    </w:p>
    <w:p w14:paraId="322210F7" w14:textId="77777777" w:rsidR="001A08BD" w:rsidRPr="00D970C3" w:rsidRDefault="001A08BD" w:rsidP="00C25BDF">
      <w:pPr>
        <w:pStyle w:val="Paragrafoelenco"/>
        <w:numPr>
          <w:ilvl w:val="0"/>
          <w:numId w:val="28"/>
        </w:numPr>
        <w:spacing w:after="160" w:line="480" w:lineRule="auto"/>
        <w:rPr>
          <w:rFonts w:ascii="Times New Roman" w:hAnsi="Times New Roman"/>
          <w:sz w:val="24"/>
          <w:szCs w:val="24"/>
        </w:rPr>
      </w:pPr>
      <w:r w:rsidRPr="00D970C3">
        <w:rPr>
          <w:rFonts w:ascii="Times New Roman" w:hAnsi="Times New Roman"/>
          <w:sz w:val="24"/>
          <w:szCs w:val="24"/>
        </w:rPr>
        <w:t xml:space="preserve">Le infezioni, come già teorizzato, danno un’alterazione perpetua del sistema immunitario, che induce e mantiene fenomeni autoimmuni </w:t>
      </w:r>
      <w:r w:rsidR="007704CF"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{"citationItems":[{"id":"ITEM-1","itemData":{"author":[{"dropping-particle":"","family":"Russo","given":"Michael G","non-dropping-particle":"","parse-names":false,"suffix":""},{"dropping-particle":"","family":"Waxman","given":"Jack","non-dropping-particle":"","parse-names":false,"suffix":""},{"dropping-particle":"","family":"Abdoh","given":"Ahmed A","non-dropping-particle":"","parse-names":false,"suffix":""},{"dropping-particle":"","family":"Serebro","given":"Leonard H","non-dropping-particle":"","parse-names":false,"suffix":""}],"id":"ITEM-1","issue":"3","issued":{"date-parts":[["1995"]]},"page":"374-380","title":"CORRELATI0 : N BETWEEN INFECTION AND THE ONSET OF THE GIANT CELL ( TEMPORAL ) ARTERITIS SYNDROME A Trigger Mechanism ?","type":"article-journal","volume":"38"},"uris":["http://www.mendeley.com/documents/?uuid=07c00f4d-7a5a-40f7-bca9-e2b708f7d5aa"]}],"mendeley":{"formattedCitation":"&lt;sup&gt;25&lt;/sup&gt;","plainTextFormattedCitation":"25","previouslyFormattedCitation":"&lt;sup&gt;25&lt;/sup&gt;"},"properties":{"noteIndex":0},"schema":"https://github.com/citation-style-language/schema/raw/master/csl-citation.json"}</w:instrText>
      </w:r>
      <w:r w:rsidR="007704CF"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25</w:t>
      </w:r>
      <w:r w:rsidR="007704CF" w:rsidRPr="00D970C3">
        <w:rPr>
          <w:rFonts w:ascii="Times New Roman" w:hAnsi="Times New Roman"/>
          <w:sz w:val="24"/>
          <w:szCs w:val="24"/>
        </w:rPr>
        <w:fldChar w:fldCharType="end"/>
      </w:r>
      <w:r w:rsidR="00D03E12" w:rsidRPr="00D970C3">
        <w:rPr>
          <w:rFonts w:ascii="Times New Roman" w:hAnsi="Times New Roman"/>
          <w:sz w:val="24"/>
          <w:szCs w:val="24"/>
        </w:rPr>
        <w:t xml:space="preserve"> </w:t>
      </w:r>
      <w:r w:rsidR="00D03E12"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{"citationItems":[{"id":"ITEM-1","itemData":{"DOI":"10.1007/s11882-013-0407-3","ISSN":"15346315","abstract":"The possible role of infections in driving autoimmune disease (AD) has long been debated. Many theories have emerged including release of hidden antigens, epitope spread, anti-idiotypes, molecular mimicry, the adjuvant effect, antigenic complementarity, or simply that AD could be a direct consequence of activation or subversion of the immune response by microbes. A number of issues are not adequately addressed by current theories, including why animal models of AD require adjuvants containing microbial peptides in addition to self tissue to induce disease, and why ADs occur more often in one sex than the other. Reviews published in the past 3 years have focused on the role of the innate immune response in driving AD and the possible role of persistent infections in altering immune responses. Overall, recent evidence suggests that microbes activating specific innate immune responses are critical, while antigenic cross-reactivity may perpetuate immune responses leading to chronic autoinflammatory disease. © 2013 Springer Science+Business Media New York.","author":[{"dropping-particle":"","family":"Root-Bernstein","given":"Robert","non-dropping-particle":"","parse-names":false,"suffix":""},{"dropping-particle":"","family":"Fairweather","given":"Delisa","non-dropping-particle":"","parse-names":false,"suffix":""}],"container-title":"Current Allergy and Asthma Reports","id":"ITEM-1","issued":{"date-parts":[["2014"]]},"title":"Complexities in the relationship between infection and autoimmunity","type":"article-journal"},"uris":["http://www.mendeley.com/documents/?uuid=6da3079c-946d-32a2-ac34-0574a5cf2a95"]}],"mendeley":{"formattedCitation":"&lt;sup&gt;26&lt;/sup&gt;","plainTextFormattedCitation":"26","previouslyFormattedCitation":"&lt;sup&gt;26&lt;/sup&gt;"},"properties":{"noteIndex":0},"schema":"https://github.com/citation-style-language/schema/raw/master/csl-citation.json"}</w:instrText>
      </w:r>
      <w:r w:rsidR="00D03E12"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26</w:t>
      </w:r>
      <w:r w:rsidR="00D03E12" w:rsidRPr="00D970C3">
        <w:rPr>
          <w:rFonts w:ascii="Times New Roman" w:hAnsi="Times New Roman"/>
          <w:sz w:val="24"/>
          <w:szCs w:val="24"/>
        </w:rPr>
        <w:fldChar w:fldCharType="end"/>
      </w:r>
    </w:p>
    <w:p w14:paraId="5FF19956" w14:textId="77777777" w:rsidR="001A08BD" w:rsidRPr="00D970C3" w:rsidRDefault="001A08BD" w:rsidP="00C25BDF">
      <w:pPr>
        <w:pStyle w:val="Paragrafoelenco"/>
        <w:numPr>
          <w:ilvl w:val="0"/>
          <w:numId w:val="28"/>
        </w:numPr>
        <w:spacing w:after="160" w:line="480" w:lineRule="auto"/>
        <w:rPr>
          <w:rFonts w:ascii="Times New Roman" w:hAnsi="Times New Roman"/>
          <w:sz w:val="24"/>
          <w:szCs w:val="24"/>
        </w:rPr>
      </w:pPr>
      <w:r w:rsidRPr="00D970C3">
        <w:rPr>
          <w:rFonts w:ascii="Times New Roman" w:hAnsi="Times New Roman"/>
          <w:sz w:val="24"/>
          <w:szCs w:val="24"/>
        </w:rPr>
        <w:t>I pazienti affetti da AGC potrebbero essere più esposti alle infezioni, come risultato della loro disregolazione immunitaria</w:t>
      </w:r>
    </w:p>
    <w:p w14:paraId="52946EA1" w14:textId="77777777" w:rsidR="001A08BD" w:rsidRPr="00D970C3" w:rsidRDefault="001A08BD" w:rsidP="00C25BDF">
      <w:pPr>
        <w:pStyle w:val="Paragrafoelenco"/>
        <w:numPr>
          <w:ilvl w:val="0"/>
          <w:numId w:val="28"/>
        </w:numPr>
        <w:spacing w:after="160" w:line="480" w:lineRule="auto"/>
        <w:rPr>
          <w:rFonts w:ascii="Times New Roman" w:hAnsi="Times New Roman"/>
          <w:sz w:val="24"/>
          <w:szCs w:val="24"/>
        </w:rPr>
      </w:pPr>
      <w:r w:rsidRPr="00D970C3">
        <w:rPr>
          <w:rFonts w:ascii="Times New Roman" w:hAnsi="Times New Roman"/>
          <w:sz w:val="24"/>
          <w:szCs w:val="24"/>
        </w:rPr>
        <w:t>L’associazione fra AGC ed età avanzata potrebbe suggerire un ruolo dell’immunosenescenza, o viceversa l’invecchiamento del sistema immunitario potrebbe essere causa dell’arterite</w:t>
      </w:r>
    </w:p>
    <w:p w14:paraId="2364F008" w14:textId="77777777" w:rsidR="001A08BD" w:rsidRPr="00D970C3" w:rsidRDefault="001A08BD" w:rsidP="001D3E58">
      <w:pPr>
        <w:pStyle w:val="Paragrafoelenco"/>
        <w:numPr>
          <w:ilvl w:val="0"/>
          <w:numId w:val="28"/>
        </w:numPr>
        <w:spacing w:after="160" w:line="480" w:lineRule="auto"/>
        <w:rPr>
          <w:rFonts w:ascii="Times New Roman" w:hAnsi="Times New Roman"/>
          <w:sz w:val="24"/>
          <w:szCs w:val="24"/>
        </w:rPr>
      </w:pPr>
      <w:r w:rsidRPr="00D970C3">
        <w:rPr>
          <w:rFonts w:ascii="Times New Roman" w:hAnsi="Times New Roman"/>
          <w:sz w:val="24"/>
          <w:szCs w:val="24"/>
        </w:rPr>
        <w:t xml:space="preserve">Alterazioni del microbioma vascolare da parte di infezioni o terapie antimicrobiche potrebbero aumentare la suscettibilità per GCA; stanno emergendo infatti evidenze sul fatto che i vasi non siano in realtà ambienti sterili come fino ad ora si era pensato </w:t>
      </w:r>
      <w:r w:rsidR="00D03E12"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DOI":"10.1016/j.carpath.2007.11.002","author":[{"dropping-particle":"","family":"Reszka","given":"Edyta","non-dropping-particle":"","parse-names":false,"suffix":""},{"dropping-particle":"","family":"Jegier","given":"Bogdan","non-dropping-particle":"","parse-names":false,"suffix":""},{"dropping-particle":"","family":"Wasowicz","given":"Wojciech","non-dropping-particle":"","parse-names":false,"suffix":""},{"dropping-particle":"","family":"Lelonek","given":"Malgorzata","non-dropping-particle":"","parse-names":false,"suffix":""}],"id":"ITEM-1","issued":{"date-parts":[["2008"]]},"page":"297-302","title":"Detection of infectious agents by polymerase chain reaction in human aortic wall","type":"article-journal","volume":"17"},"uris":["http://www.mendeley.com/documents/?uuid=c84474c3-a50f-45f1-8459-97ad2ec74f3a"]}],"mendeley":{"formattedCitation":"&lt;sup&gt;27&lt;/sup&gt;","plainTextFormattedCitation":"27","previouslyFormattedCitation":"&lt;sup&gt;27&lt;/sup&gt;"},"properties":{"noteIndex":0},"schema":"https://github.com/citation-style-language/schema/raw/master/csl-citation.json"}</w:instrText>
      </w:r>
      <w:r w:rsidR="00D03E12"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27</w:t>
      </w:r>
      <w:r w:rsidR="00D03E12" w:rsidRPr="00D970C3">
        <w:rPr>
          <w:rFonts w:ascii="Times New Roman" w:hAnsi="Times New Roman"/>
          <w:sz w:val="24"/>
          <w:szCs w:val="24"/>
        </w:rPr>
        <w:fldChar w:fldCharType="end"/>
      </w:r>
      <w:r w:rsidRPr="00D970C3">
        <w:rPr>
          <w:rFonts w:ascii="Times New Roman" w:hAnsi="Times New Roman"/>
          <w:sz w:val="24"/>
          <w:szCs w:val="24"/>
        </w:rPr>
        <w:t xml:space="preserve">. </w:t>
      </w:r>
    </w:p>
    <w:p w14:paraId="725918B4" w14:textId="77777777" w:rsidR="001A08BD" w:rsidRPr="00D970C3" w:rsidRDefault="006E0A8E"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Nonostante sia a</w:t>
      </w:r>
      <w:r w:rsidR="001A08BD" w:rsidRPr="00D970C3">
        <w:rPr>
          <w:rFonts w:ascii="Times New Roman" w:hAnsi="Times New Roman" w:cs="Times New Roman"/>
          <w:sz w:val="24"/>
          <w:szCs w:val="24"/>
        </w:rPr>
        <w:t>ncora incerto se le infezioni siano causa o una semplice conseguenza della patologia</w:t>
      </w:r>
      <w:r w:rsidRPr="00D970C3">
        <w:rPr>
          <w:rFonts w:ascii="Times New Roman" w:hAnsi="Times New Roman" w:cs="Times New Roman"/>
          <w:sz w:val="24"/>
          <w:szCs w:val="24"/>
        </w:rPr>
        <w:t xml:space="preserve">, </w:t>
      </w:r>
      <w:r w:rsidR="001A08BD" w:rsidRPr="00D970C3">
        <w:rPr>
          <w:rFonts w:ascii="Times New Roman" w:hAnsi="Times New Roman" w:cs="Times New Roman"/>
          <w:sz w:val="24"/>
          <w:szCs w:val="24"/>
        </w:rPr>
        <w:t>è probabile che alla base della AGC vi sia una disregolazione dell’immunità innata ed adattiva</w:t>
      </w:r>
      <w:r w:rsidR="000A7A3E" w:rsidRPr="00D970C3">
        <w:rPr>
          <w:rFonts w:ascii="Times New Roman" w:hAnsi="Times New Roman" w:cs="Times New Roman"/>
          <w:sz w:val="24"/>
          <w:szCs w:val="24"/>
        </w:rPr>
        <w:fldChar w:fldCharType="begin" w:fldLock="1"/>
      </w:r>
      <w:r w:rsidR="000A7A3E" w:rsidRPr="00D970C3">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D970C3">
        <w:rPr>
          <w:rFonts w:ascii="Times New Roman" w:hAnsi="Times New Roman" w:cs="Times New Roman"/>
          <w:sz w:val="24"/>
          <w:szCs w:val="24"/>
        </w:rPr>
        <w:fldChar w:fldCharType="separate"/>
      </w:r>
      <w:r w:rsidR="000A7A3E" w:rsidRPr="00D970C3">
        <w:rPr>
          <w:rFonts w:ascii="Times New Roman" w:hAnsi="Times New Roman" w:cs="Times New Roman"/>
          <w:noProof/>
          <w:sz w:val="24"/>
          <w:szCs w:val="24"/>
          <w:vertAlign w:val="superscript"/>
        </w:rPr>
        <w:t>1</w:t>
      </w:r>
      <w:r w:rsidR="000A7A3E" w:rsidRPr="00D970C3">
        <w:rPr>
          <w:rFonts w:ascii="Times New Roman" w:hAnsi="Times New Roman" w:cs="Times New Roman"/>
          <w:sz w:val="24"/>
          <w:szCs w:val="24"/>
        </w:rPr>
        <w:fldChar w:fldCharType="end"/>
      </w:r>
      <w:r w:rsidR="001A08BD" w:rsidRPr="00D970C3">
        <w:rPr>
          <w:rFonts w:ascii="Times New Roman" w:hAnsi="Times New Roman" w:cs="Times New Roman"/>
          <w:sz w:val="24"/>
          <w:szCs w:val="24"/>
        </w:rPr>
        <w:t>.</w:t>
      </w:r>
    </w:p>
    <w:p w14:paraId="5F159B43" w14:textId="77777777" w:rsidR="001A08BD" w:rsidRPr="00D970C3" w:rsidRDefault="001A08BD" w:rsidP="00C25BDF">
      <w:pPr>
        <w:spacing w:line="480" w:lineRule="auto"/>
        <w:rPr>
          <w:rFonts w:ascii="Times New Roman" w:hAnsi="Times New Roman" w:cs="Times New Roman"/>
          <w:color w:val="4F81BD" w:themeColor="accent1"/>
          <w:sz w:val="24"/>
          <w:szCs w:val="24"/>
        </w:rPr>
      </w:pPr>
      <w:r w:rsidRPr="00D970C3">
        <w:rPr>
          <w:rFonts w:ascii="Times New Roman" w:hAnsi="Times New Roman" w:cs="Times New Roman"/>
          <w:sz w:val="24"/>
          <w:szCs w:val="24"/>
        </w:rPr>
        <w:t>Sono implicate le cellule dendritiche presenti nei vasa vasorum (vasDCs) dei grandi vasi. Localizzate tra media e avventizia, esse partecipano all’immuno-sorveglianza</w:t>
      </w:r>
      <w:r w:rsidR="00EE59B5" w:rsidRPr="00D970C3">
        <w:rPr>
          <w:rFonts w:ascii="Times New Roman" w:hAnsi="Times New Roman" w:cs="Times New Roman"/>
          <w:sz w:val="24"/>
          <w:szCs w:val="24"/>
        </w:rPr>
        <w:t xml:space="preserve">, ed </w:t>
      </w:r>
      <w:r w:rsidRPr="00D970C3">
        <w:rPr>
          <w:rFonts w:ascii="Times New Roman" w:hAnsi="Times New Roman" w:cs="Times New Roman"/>
          <w:sz w:val="24"/>
          <w:szCs w:val="24"/>
        </w:rPr>
        <w:t xml:space="preserve">in soggetti sani rimangono allo stato di cellule immature e prive della capacità di stimolare i linfociti T per mantenere l’immuno-tolleranza. Nelle vasculiti invece, le vasDCs si attivano tramite i Toll-like receptors (TLR) e stimolano linfociti T e macrofagi </w:t>
      </w:r>
      <w:r w:rsidR="00D03E12"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eviouslyFormattedCitation":"&lt;sup&gt;22&lt;/sup&gt;"},"properties":{"noteIndex":0},"schema":"https://github.com/citation-style-language/schema/raw/master/csl-citation.json"}</w:instrText>
      </w:r>
      <w:r w:rsidR="00D03E12"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22</w:t>
      </w:r>
      <w:r w:rsidR="00D03E12"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r w:rsidR="00D03E12"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D03E12"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11</w:t>
      </w:r>
      <w:r w:rsidR="00D03E12"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r w:rsidRPr="00D970C3">
        <w:rPr>
          <w:rFonts w:ascii="Times New Roman" w:hAnsi="Times New Roman" w:cs="Times New Roman"/>
          <w:color w:val="4F81BD" w:themeColor="accent1"/>
          <w:sz w:val="24"/>
          <w:szCs w:val="24"/>
        </w:rPr>
        <w:t xml:space="preserve"> </w:t>
      </w:r>
    </w:p>
    <w:p w14:paraId="5AF24C81" w14:textId="77777777" w:rsidR="00C318D7"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lastRenderedPageBreak/>
        <w:t>I macrofagi, una volta reclutati si differenziano nelle popolazioni M1e M2 e agiscono in maniera differente a seconda del microambiente. Nell’avventizia i macrofagi M1 producono IL-1 e IL-6, migliorando l’attivazione T cellulare, nella tonaca media producono ROS e metalloproteasi, degradando la matrice dell’arteria. Nella medio-intimale, differenziatisi nella linea M2, producono VEGF e PDGF con iperplasia intimale</w:t>
      </w:r>
      <w:r w:rsidR="000A7A3E" w:rsidRPr="00D970C3">
        <w:rPr>
          <w:rFonts w:ascii="Times New Roman" w:hAnsi="Times New Roman" w:cs="Times New Roman"/>
          <w:sz w:val="24"/>
          <w:szCs w:val="24"/>
        </w:rPr>
        <w:fldChar w:fldCharType="begin" w:fldLock="1"/>
      </w:r>
      <w:r w:rsidR="000A7A3E" w:rsidRPr="00D970C3">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D970C3">
        <w:rPr>
          <w:rFonts w:ascii="Times New Roman" w:hAnsi="Times New Roman" w:cs="Times New Roman"/>
          <w:sz w:val="24"/>
          <w:szCs w:val="24"/>
        </w:rPr>
        <w:fldChar w:fldCharType="separate"/>
      </w:r>
      <w:r w:rsidR="000A7A3E" w:rsidRPr="00D970C3">
        <w:rPr>
          <w:rFonts w:ascii="Times New Roman" w:hAnsi="Times New Roman" w:cs="Times New Roman"/>
          <w:noProof/>
          <w:sz w:val="24"/>
          <w:szCs w:val="24"/>
          <w:vertAlign w:val="superscript"/>
        </w:rPr>
        <w:t>1</w:t>
      </w:r>
      <w:r w:rsidR="000A7A3E"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r w:rsidR="00D03E12"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eviouslyFormattedCitation":"&lt;sup&gt;22&lt;/sup&gt;"},"properties":{"noteIndex":0},"schema":"https://github.com/citation-style-language/schema/raw/master/csl-citation.json"}</w:instrText>
      </w:r>
      <w:r w:rsidR="00D03E12"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22</w:t>
      </w:r>
      <w:r w:rsidR="00D03E12" w:rsidRPr="00D970C3">
        <w:rPr>
          <w:rFonts w:ascii="Times New Roman" w:hAnsi="Times New Roman" w:cs="Times New Roman"/>
          <w:sz w:val="24"/>
          <w:szCs w:val="24"/>
        </w:rPr>
        <w:fldChar w:fldCharType="end"/>
      </w:r>
      <w:r w:rsidR="00D03E12" w:rsidRPr="00D970C3">
        <w:rPr>
          <w:rFonts w:ascii="Times New Roman" w:hAnsi="Times New Roman" w:cs="Times New Roman"/>
          <w:sz w:val="24"/>
          <w:szCs w:val="24"/>
        </w:rPr>
        <w:t xml:space="preserve"> </w:t>
      </w:r>
      <w:r w:rsidR="00D03E12"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D03E12"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11</w:t>
      </w:r>
      <w:r w:rsidR="00D03E12"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p>
    <w:p w14:paraId="1C6DD1AC" w14:textId="77777777" w:rsidR="00C318D7"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Non è chiaro poi come il processo di distruzione vasale aneurismatico rimanga limitato alla sola aorta e in generale come i processi infiammatori rimangano confinati solo in alcune arterie, mentre le altre siano risparmiate. Una risposta ad oggi plausibile sarebbe da ricercare nel diverso tipo di vasDCs e TLR dei diversi territori vascolari: i ligandi del TLR infatti causerebbero attivazione del processo infiammatorio in alcuni vasi, mentre in altri questo processo non avviene</w:t>
      </w:r>
      <w:r w:rsidR="00C318D7"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C318D7"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11</w:t>
      </w:r>
      <w:r w:rsidR="00C318D7"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p>
    <w:p w14:paraId="3C118109"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Non è ancora stato compreso del tutto nemmeno il meccanismo che protegga dallo sviluppo di infiammazione transmurale delle arterie una porzione dei pazienti affetti da AGC, ma anche in questo sembra siano implicate le vasDCs oltre che fattori genetici. Le vasDCs infatti fornite di diversi pattern-recognition receptor, inclusi i TLRs, si attivano quando avviene il legame con il TLR4 (da parte del lipopolisaccaride o HSPs)</w:t>
      </w:r>
      <w:r w:rsidR="006C110C" w:rsidRPr="00D970C3">
        <w:rPr>
          <w:rFonts w:ascii="Times New Roman" w:hAnsi="Times New Roman" w:cs="Times New Roman"/>
          <w:sz w:val="24"/>
          <w:szCs w:val="24"/>
        </w:rPr>
        <w:t xml:space="preserve"> </w:t>
      </w:r>
      <w:r w:rsidRPr="00D970C3">
        <w:rPr>
          <w:rFonts w:ascii="Times New Roman" w:hAnsi="Times New Roman" w:cs="Times New Roman"/>
          <w:sz w:val="24"/>
          <w:szCs w:val="24"/>
        </w:rPr>
        <w:t>causando</w:t>
      </w:r>
      <w:r w:rsidRPr="00D970C3">
        <w:rPr>
          <w:rFonts w:ascii="Times New Roman" w:hAnsi="Times New Roman" w:cs="Times New Roman"/>
          <w:color w:val="4F81BD" w:themeColor="accent1"/>
          <w:sz w:val="24"/>
          <w:szCs w:val="24"/>
        </w:rPr>
        <w:t xml:space="preserve"> </w:t>
      </w:r>
      <w:r w:rsidRPr="00D970C3">
        <w:rPr>
          <w:rFonts w:ascii="Times New Roman" w:hAnsi="Times New Roman" w:cs="Times New Roman"/>
          <w:sz w:val="24"/>
          <w:szCs w:val="24"/>
        </w:rPr>
        <w:t xml:space="preserve">infiammazione transmurale, mentre il legame con il TLR5 (da parte della flagellina batterica) limiterebbe il processo infiammatorio dell’avventizia </w:t>
      </w:r>
      <w:r w:rsidR="00C318D7"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C318D7"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11</w:t>
      </w:r>
      <w:r w:rsidR="00C318D7" w:rsidRPr="00D970C3">
        <w:rPr>
          <w:rFonts w:ascii="Times New Roman" w:hAnsi="Times New Roman" w:cs="Times New Roman"/>
          <w:sz w:val="24"/>
          <w:szCs w:val="24"/>
        </w:rPr>
        <w:fldChar w:fldCharType="end"/>
      </w:r>
    </w:p>
    <w:p w14:paraId="0690100A"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I linfociti T, normalmente inattivi, vengono attivati dalle vasDCs e infiltrano le pareti dell’arteria. Implicati nei processi di danno sono due sottopopolazioni dei linfociti CD4+: i linfociti Th17, la cui attivazione dipende da IL-1β, IL-6, IL-21 e </w:t>
      </w:r>
      <w:r w:rsidRPr="00D970C3">
        <w:rPr>
          <w:rFonts w:ascii="Times New Roman" w:hAnsi="Times New Roman" w:cs="Times New Roman"/>
          <w:sz w:val="24"/>
          <w:szCs w:val="24"/>
        </w:rPr>
        <w:lastRenderedPageBreak/>
        <w:t xml:space="preserve">IL-18, e i linfociti Th1, attivati dalla secrezione di IL.12 e IL-18. Anche i linfociti T regolatori (Treg) sono implicati nella patogenesi. Il loro compito è mantenere l’immunotolleranza e prevenire l’autoimmunità e nei soggetti affetti il loro numero è ridotto. In questo l’IL-6 gioca un ruolo importante, promuovendo la differenziazione dei linfociti T naive in linfociti Th17, mentre riduce la loro differenziazione in linfociti T reg. Il risultato finale è una disregolazione del rapporto fra linfociti T reg e linfociti Th17 </w:t>
      </w:r>
      <w:r w:rsidR="000A7A3E" w:rsidRPr="00D970C3">
        <w:rPr>
          <w:rFonts w:ascii="Times New Roman" w:hAnsi="Times New Roman" w:cs="Times New Roman"/>
          <w:sz w:val="24"/>
          <w:szCs w:val="24"/>
        </w:rPr>
        <w:fldChar w:fldCharType="begin" w:fldLock="1"/>
      </w:r>
      <w:r w:rsidR="000A7A3E" w:rsidRPr="00D970C3">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D970C3">
        <w:rPr>
          <w:rFonts w:ascii="Times New Roman" w:hAnsi="Times New Roman" w:cs="Times New Roman"/>
          <w:sz w:val="24"/>
          <w:szCs w:val="24"/>
        </w:rPr>
        <w:fldChar w:fldCharType="separate"/>
      </w:r>
      <w:r w:rsidR="000A7A3E" w:rsidRPr="00D970C3">
        <w:rPr>
          <w:rFonts w:ascii="Times New Roman" w:hAnsi="Times New Roman" w:cs="Times New Roman"/>
          <w:noProof/>
          <w:sz w:val="24"/>
          <w:szCs w:val="24"/>
          <w:vertAlign w:val="superscript"/>
        </w:rPr>
        <w:t>1</w:t>
      </w:r>
      <w:r w:rsidR="000A7A3E" w:rsidRPr="00D970C3">
        <w:rPr>
          <w:rFonts w:ascii="Times New Roman" w:hAnsi="Times New Roman" w:cs="Times New Roman"/>
          <w:sz w:val="24"/>
          <w:szCs w:val="24"/>
        </w:rPr>
        <w:fldChar w:fldCharType="end"/>
      </w:r>
      <w:r w:rsidR="000A7A3E" w:rsidRPr="00D970C3">
        <w:rPr>
          <w:rFonts w:ascii="Times New Roman" w:hAnsi="Times New Roman" w:cs="Times New Roman"/>
          <w:sz w:val="24"/>
          <w:szCs w:val="24"/>
        </w:rPr>
        <w:t xml:space="preserve"> </w:t>
      </w:r>
      <w:r w:rsidR="00C318D7"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{"citationItems":[{"id":"ITEM-1","itemData":{"DOI":"10.1016/j.revmed.2012.12.012","ISSN":"02488663","abstract":"Introduction: Treatment of giant cell arteritis is based on prolonged corticosteroid therapy but adverse side effects are common especially in the elderly. Case reports: We report three patients with giant cell vasculitis treated by tocilizumab, an interleukin-6 receptor antibody, owing to resistance or intolerance to corticosteroid therapy. A favorable outcome was rapidly observed both on clinical and biological data allowing a corticoid therapy sparing. Conclusion: Tocilizumab is a promising treatment of giant cell arteritis but controlled trials are needed to confirm its efficacy. © 2013 Société nationale française de médecine interne (SNFMI).","author":[{"dropping-particle":"","family":"Kieffer","given":"P.","non-dropping-particle":"","parse-names":false,"suffix":""},{"dropping-particle":"","family":"Hinschberger","given":"O.","non-dropping-particle":"","parse-names":false,"suffix":""},{"dropping-particle":"","family":"Ciobanu","given":"E.","non-dropping-particle":"","parse-names":false,"suffix":""},{"dropping-particle":"","family":"Jaeger-Bizet","given":"F.","non-dropping-particle":"","parse-names":false,"suffix":""},{"dropping-particle":"","family":"Drabo","given":"A.","non-dropping-particle":"","parse-names":false,"suffix":""},{"dropping-particle":"","family":"Mostoufizadeh","given":"T.","non-dropping-particle":"","parse-names":false,"suffix":""},{"dropping-particle":"","family":"Martzolff","given":"L.","non-dropping-particle":"","parse-names":false,"suffix":""}],"container-title":"Revue de Medecine Interne","id":"ITEM-1","issue":"1","issued":{"date-parts":[["2014"]]},"page":"56-59","publisher":"Elsevier Masson SAS","title":"Efficacité clinique et biologique du tocilizumab au cours de la maladie de Horton: À propos de trois observations et revue de la littérature","type":"article-journal","volume":"35"},"uris":["http://www.mendeley.com/documents/?uuid=f8d9ae56-3f05-4e83-9f48-3ea4c9da5f0c"]}],"mendeley":{"formattedCitation":"&lt;sup&gt;28&lt;/sup&gt;","plainTextFormattedCitation":"28","previouslyFormattedCitation":"&lt;sup&gt;28&lt;/sup&gt;"},"properties":{"noteIndex":0},"schema":"https://github.com/citation-style-language/schema/raw/master/csl-citation.json"}</w:instrText>
      </w:r>
      <w:r w:rsidR="00C318D7"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28</w:t>
      </w:r>
      <w:r w:rsidR="00C318D7"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r w:rsidR="00C318D7"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eviouslyFormattedCitation":"&lt;sup&gt;22&lt;/sup&gt;"},"properties":{"noteIndex":0},"schema":"https://github.com/citation-style-language/schema/raw/master/csl-citation.json"}</w:instrText>
      </w:r>
      <w:r w:rsidR="00C318D7"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22</w:t>
      </w:r>
      <w:r w:rsidR="00C318D7"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r w:rsidR="00C318D7"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C318D7"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11</w:t>
      </w:r>
      <w:r w:rsidR="00C318D7"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5FC3F3F9"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Il processo di danno varia però da caso a caso, infatti diversi livelli di citochine correlano con eventi patologici differenti (livelli elevati di INFɣ causerebbero ischemia e proliferazione intimale, mentre con alti livelli di IL-2 e bassi di INFɣ questo non avverrebbe). Inoltre, si è evidenziato come i livelli di IL-2 e INF-ɣ sono correlati con la persistenza dell’attività Th1 anche in soggetti trattati con glucorticoidi</w:t>
      </w:r>
      <w:r w:rsidR="006C7DCC" w:rsidRPr="00D970C3">
        <w:rPr>
          <w:rFonts w:ascii="Times New Roman" w:hAnsi="Times New Roman" w:cs="Times New Roman"/>
          <w:sz w:val="24"/>
          <w:szCs w:val="24"/>
        </w:rPr>
        <w:t xml:space="preserve"> (GC)</w:t>
      </w:r>
      <w:r w:rsidR="000A7A3E" w:rsidRPr="00D970C3">
        <w:rPr>
          <w:rFonts w:ascii="Times New Roman" w:hAnsi="Times New Roman" w:cs="Times New Roman"/>
          <w:sz w:val="24"/>
          <w:szCs w:val="24"/>
        </w:rPr>
        <w:fldChar w:fldCharType="begin" w:fldLock="1"/>
      </w:r>
      <w:r w:rsidR="000A7A3E" w:rsidRPr="00D970C3">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D970C3">
        <w:rPr>
          <w:rFonts w:ascii="Times New Roman" w:hAnsi="Times New Roman" w:cs="Times New Roman"/>
          <w:sz w:val="24"/>
          <w:szCs w:val="24"/>
        </w:rPr>
        <w:fldChar w:fldCharType="separate"/>
      </w:r>
      <w:r w:rsidR="000A7A3E" w:rsidRPr="00D970C3">
        <w:rPr>
          <w:rFonts w:ascii="Times New Roman" w:hAnsi="Times New Roman" w:cs="Times New Roman"/>
          <w:noProof/>
          <w:sz w:val="24"/>
          <w:szCs w:val="24"/>
          <w:vertAlign w:val="superscript"/>
        </w:rPr>
        <w:t>1</w:t>
      </w:r>
      <w:r w:rsidR="000A7A3E"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7B7374F7"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Un ruolo nella patogenesi è svolto anche da linfociti B, evidenziato dall’aumento di anticorpi a livello sistemico, ma l’aspecificità dei reperti non consente ancora di chiarire con precisione il loro ruolo.</w:t>
      </w:r>
    </w:p>
    <w:p w14:paraId="175B1BF2"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Sono implicate anche le cellule endoteliali, che esprimono livelli di endotelina-1 ed endotelina-B receptor più elevati e creano un microambiente favorevole allo sviluppo di eventi ischemici </w:t>
      </w:r>
      <w:r w:rsidR="006C7DCC"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{"citationItems":[{"id":"ITEM-1","itemData":{"DOI":"10.1186/s41927-017-0004-5","author":[{"dropping-particle":"","family":"Koster","given":"Matthew J.","non-dropping-particle":"","parse-names":false,"suffix":""},{"dropping-particle":"","family":"Warrington","given":"Kenneth J.","non-dropping-particle":"","parse-names":false,"suffix":""}],"container-title":"BMC Rheumatology","id":"ITEM-1","issue":"1","issued":{"date-parts":[["2017"]]},"page":"1-12","publisher":"BMC Rheumatology","title":"Giant cell arteritis: pathogenic mechanisms and new potential therapeutic targets","type":"article-journal","volume":"1"},"uris":["http://www.mendeley.com/documents/?uuid=84ebc608-0607-46ec-b9db-fc5776c82df5"]}],"mendeley":{"formattedCitation":"&lt;sup&gt;22&lt;/sup&gt;","plainTextFormattedCitation":"22","previouslyFormattedCitation":"&lt;sup&gt;22&lt;/sup&gt;"},"properties":{"noteIndex":0},"schema":"https://github.com/citation-style-language/schema/raw/master/csl-citation.json"}</w:instrText>
      </w:r>
      <w:r w:rsidR="006C7DCC"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22</w:t>
      </w:r>
      <w:r w:rsidR="006C7DCC"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r w:rsidR="006C7DCC"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6C7DCC"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11</w:t>
      </w:r>
      <w:r w:rsidR="006C7DCC"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1D4BE244"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È importante considerare che il processo infiammatorio non è solo locale, ma sistemico. </w:t>
      </w:r>
    </w:p>
    <w:p w14:paraId="03340BE5" w14:textId="77777777" w:rsidR="005D727E" w:rsidRPr="00D970C3" w:rsidRDefault="001A08BD" w:rsidP="001C0E1A">
      <w:pPr>
        <w:pStyle w:val="Titolo2"/>
        <w:spacing w:line="480" w:lineRule="auto"/>
        <w:rPr>
          <w:rFonts w:ascii="Times New Roman" w:hAnsi="Times New Roman" w:cs="Times New Roman"/>
          <w:b w:val="0"/>
          <w:color w:val="auto"/>
          <w:sz w:val="28"/>
          <w:szCs w:val="28"/>
        </w:rPr>
      </w:pPr>
      <w:bookmarkStart w:id="7" w:name="_Toc12908071"/>
      <w:r w:rsidRPr="00D970C3">
        <w:rPr>
          <w:rFonts w:ascii="Times New Roman" w:hAnsi="Times New Roman" w:cs="Times New Roman"/>
          <w:color w:val="auto"/>
          <w:sz w:val="28"/>
          <w:szCs w:val="28"/>
        </w:rPr>
        <w:lastRenderedPageBreak/>
        <w:t>2.3 Diagnosi</w:t>
      </w:r>
      <w:bookmarkEnd w:id="7"/>
    </w:p>
    <w:p w14:paraId="7EB904B6" w14:textId="77777777" w:rsidR="001A08BD" w:rsidRPr="00D970C3" w:rsidRDefault="001A08BD" w:rsidP="00C25BDF">
      <w:pPr>
        <w:pStyle w:val="Paragrafoelenco"/>
        <w:numPr>
          <w:ilvl w:val="0"/>
          <w:numId w:val="24"/>
        </w:numPr>
        <w:spacing w:after="160" w:line="480" w:lineRule="auto"/>
        <w:rPr>
          <w:rFonts w:ascii="Times New Roman" w:hAnsi="Times New Roman"/>
          <w:b/>
          <w:sz w:val="24"/>
          <w:szCs w:val="24"/>
        </w:rPr>
      </w:pPr>
      <w:r w:rsidRPr="00D970C3">
        <w:rPr>
          <w:rFonts w:ascii="Times New Roman" w:hAnsi="Times New Roman"/>
          <w:b/>
          <w:sz w:val="24"/>
          <w:szCs w:val="24"/>
        </w:rPr>
        <w:t>Clinica</w:t>
      </w:r>
    </w:p>
    <w:p w14:paraId="1AF6C6FD"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Fondamentale è un’accurata anamnesi ed esame obiettivo. La diagnosi infatti è ottenuta principalmente basandosi sulla clinica e poi rafforzata dagli esami diagnostici</w:t>
      </w:r>
      <w:r w:rsidR="000A7A3E" w:rsidRPr="00D970C3">
        <w:rPr>
          <w:rFonts w:ascii="Times New Roman" w:hAnsi="Times New Roman" w:cs="Times New Roman"/>
          <w:sz w:val="24"/>
          <w:szCs w:val="24"/>
        </w:rPr>
        <w:fldChar w:fldCharType="begin" w:fldLock="1"/>
      </w:r>
      <w:r w:rsidR="000A7A3E" w:rsidRPr="00D970C3">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D970C3">
        <w:rPr>
          <w:rFonts w:ascii="Times New Roman" w:hAnsi="Times New Roman" w:cs="Times New Roman"/>
          <w:sz w:val="24"/>
          <w:szCs w:val="24"/>
        </w:rPr>
        <w:fldChar w:fldCharType="separate"/>
      </w:r>
      <w:r w:rsidR="000A7A3E" w:rsidRPr="00D970C3">
        <w:rPr>
          <w:rFonts w:ascii="Times New Roman" w:hAnsi="Times New Roman" w:cs="Times New Roman"/>
          <w:noProof/>
          <w:sz w:val="24"/>
          <w:szCs w:val="24"/>
          <w:vertAlign w:val="superscript"/>
        </w:rPr>
        <w:t>1</w:t>
      </w:r>
      <w:r w:rsidR="000A7A3E"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p>
    <w:p w14:paraId="083C8EB0"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Ci si può a</w:t>
      </w:r>
      <w:r w:rsidR="00EE59B5" w:rsidRPr="00D970C3">
        <w:rPr>
          <w:rFonts w:ascii="Times New Roman" w:hAnsi="Times New Roman" w:cs="Times New Roman"/>
          <w:sz w:val="24"/>
          <w:szCs w:val="24"/>
        </w:rPr>
        <w:t>iutare con</w:t>
      </w:r>
      <w:r w:rsidRPr="00D970C3">
        <w:rPr>
          <w:rFonts w:ascii="Times New Roman" w:hAnsi="Times New Roman" w:cs="Times New Roman"/>
          <w:sz w:val="24"/>
          <w:szCs w:val="24"/>
        </w:rPr>
        <w:t xml:space="preserve"> i criteri classificativi, come quelli pubblicati dall’ACR per la prima volta nel 1990 e riaggiornati con le successive stesure delle linee guida </w:t>
      </w:r>
      <w:r w:rsidR="006C7DCC"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{"citationItems":[{"id":"ITEM-1","itemData":{"author":[{"dropping-particle":"","family":"Sundel","given":"Robert","non-dropping-particle":"","parse-names":false,"suffix":""},{"dropping-particle":"","family":"Miller","given":"Amy S","non-dropping-particle":"","parse-names":false,"suffix":""}],"id":"ITEM-1","issue":"March","issued":{"date-parts":[["2018"]]},"page":"1-28","title":"American College of Rheumatology ( ACR ) Vasculitis Guideline Project Plan – March 2018 American College of Rheumatology ( ACR ) Vasculitis Guideline Project Plan – March 2018","type":"article-journal"},"uris":["http://www.mendeley.com/documents/?uuid=11cbb2d6-8f19-43c1-ab78-a0c9ee887173"]}],"mendeley":{"formattedCitation":"&lt;sup&gt;3&lt;/sup&gt;","plainTextFormattedCitation":"3","previouslyFormattedCitation":"&lt;sup&gt;3&lt;/sup&gt;"},"properties":{"noteIndex":0},"schema":"https://github.com/citation-style-language/schema/raw/master/csl-citation.json"}</w:instrText>
      </w:r>
      <w:r w:rsidR="006C7DCC"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3</w:t>
      </w:r>
      <w:r w:rsidR="006C7DCC"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che facilitano anche l’approccio diagnostico. Questi criteri classificativi risultano molto utili per indirizzare la diagnosi, tuttavia non sempre hanno lo stesso valore </w:t>
      </w:r>
      <w:r w:rsidR="00EE59B5" w:rsidRPr="00D970C3">
        <w:rPr>
          <w:rFonts w:ascii="Times New Roman" w:hAnsi="Times New Roman" w:cs="Times New Roman"/>
          <w:sz w:val="24"/>
          <w:szCs w:val="24"/>
        </w:rPr>
        <w:t>in</w:t>
      </w:r>
      <w:r w:rsidRPr="00D970C3">
        <w:rPr>
          <w:rFonts w:ascii="Times New Roman" w:hAnsi="Times New Roman" w:cs="Times New Roman"/>
          <w:sz w:val="24"/>
          <w:szCs w:val="24"/>
        </w:rPr>
        <w:t xml:space="preserve"> pazienti </w:t>
      </w:r>
      <w:r w:rsidR="00EE59B5" w:rsidRPr="00D970C3">
        <w:rPr>
          <w:rFonts w:ascii="Times New Roman" w:hAnsi="Times New Roman" w:cs="Times New Roman"/>
          <w:sz w:val="24"/>
          <w:szCs w:val="24"/>
        </w:rPr>
        <w:t>diversi perché</w:t>
      </w:r>
      <w:r w:rsidRPr="00D970C3">
        <w:rPr>
          <w:rFonts w:ascii="Times New Roman" w:hAnsi="Times New Roman" w:cs="Times New Roman"/>
          <w:sz w:val="24"/>
          <w:szCs w:val="24"/>
        </w:rPr>
        <w:t xml:space="preserve"> la diagnosi </w:t>
      </w:r>
      <w:r w:rsidR="00EE59B5" w:rsidRPr="00D970C3">
        <w:rPr>
          <w:rFonts w:ascii="Times New Roman" w:hAnsi="Times New Roman" w:cs="Times New Roman"/>
          <w:sz w:val="24"/>
          <w:szCs w:val="24"/>
        </w:rPr>
        <w:t>è un processo individuale</w:t>
      </w:r>
      <w:r w:rsidRPr="00D970C3">
        <w:rPr>
          <w:rFonts w:ascii="Times New Roman" w:hAnsi="Times New Roman" w:cs="Times New Roman"/>
          <w:sz w:val="24"/>
          <w:szCs w:val="24"/>
        </w:rPr>
        <w:t xml:space="preserve">.  </w:t>
      </w:r>
    </w:p>
    <w:p w14:paraId="163AA0F3"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L’ACR</w:t>
      </w:r>
      <w:r w:rsidRPr="00D970C3">
        <w:rPr>
          <w:rFonts w:ascii="Times New Roman" w:hAnsi="Times New Roman" w:cs="Times New Roman"/>
          <w:b/>
          <w:sz w:val="24"/>
          <w:szCs w:val="24"/>
        </w:rPr>
        <w:t xml:space="preserve"> </w:t>
      </w:r>
      <w:r w:rsidRPr="00D970C3">
        <w:rPr>
          <w:rFonts w:ascii="Times New Roman" w:hAnsi="Times New Roman" w:cs="Times New Roman"/>
          <w:sz w:val="24"/>
          <w:szCs w:val="24"/>
        </w:rPr>
        <w:t>propone attualmente i seguenti criteri classificativi:</w:t>
      </w:r>
    </w:p>
    <w:p w14:paraId="623D47CB" w14:textId="77777777" w:rsidR="001A08BD" w:rsidRPr="00D970C3" w:rsidRDefault="001A08BD" w:rsidP="00C25BDF">
      <w:pPr>
        <w:pStyle w:val="Paragrafoelenco"/>
        <w:numPr>
          <w:ilvl w:val="0"/>
          <w:numId w:val="2"/>
        </w:numPr>
        <w:spacing w:after="160" w:line="480" w:lineRule="auto"/>
        <w:rPr>
          <w:rFonts w:ascii="Times New Roman" w:hAnsi="Times New Roman"/>
          <w:sz w:val="24"/>
          <w:szCs w:val="24"/>
        </w:rPr>
      </w:pPr>
      <w:r w:rsidRPr="00D970C3">
        <w:rPr>
          <w:rFonts w:ascii="Times New Roman" w:hAnsi="Times New Roman"/>
          <w:sz w:val="24"/>
          <w:szCs w:val="24"/>
        </w:rPr>
        <w:t>Età ≥ 50 anni (all’insorgenza)</w:t>
      </w:r>
    </w:p>
    <w:p w14:paraId="63F81574" w14:textId="77777777" w:rsidR="001A08BD" w:rsidRPr="00D970C3" w:rsidRDefault="001A08BD" w:rsidP="00C25BDF">
      <w:pPr>
        <w:pStyle w:val="Paragrafoelenco"/>
        <w:numPr>
          <w:ilvl w:val="0"/>
          <w:numId w:val="2"/>
        </w:numPr>
        <w:spacing w:after="160" w:line="480" w:lineRule="auto"/>
        <w:rPr>
          <w:rFonts w:ascii="Times New Roman" w:hAnsi="Times New Roman"/>
          <w:sz w:val="24"/>
          <w:szCs w:val="24"/>
        </w:rPr>
      </w:pPr>
      <w:r w:rsidRPr="00D970C3">
        <w:rPr>
          <w:rFonts w:ascii="Times New Roman" w:hAnsi="Times New Roman"/>
          <w:sz w:val="24"/>
          <w:szCs w:val="24"/>
        </w:rPr>
        <w:t>VES ≥ 50 mm/h</w:t>
      </w:r>
    </w:p>
    <w:p w14:paraId="3F5BF3C2" w14:textId="77777777" w:rsidR="001A08BD" w:rsidRPr="00D970C3" w:rsidRDefault="001A08BD" w:rsidP="00C25BDF">
      <w:pPr>
        <w:pStyle w:val="Paragrafoelenco"/>
        <w:numPr>
          <w:ilvl w:val="0"/>
          <w:numId w:val="2"/>
        </w:numPr>
        <w:spacing w:after="160" w:line="480" w:lineRule="auto"/>
        <w:rPr>
          <w:rFonts w:ascii="Times New Roman" w:hAnsi="Times New Roman"/>
          <w:sz w:val="24"/>
          <w:szCs w:val="24"/>
        </w:rPr>
      </w:pPr>
      <w:r w:rsidRPr="00D970C3">
        <w:rPr>
          <w:rFonts w:ascii="Times New Roman" w:hAnsi="Times New Roman"/>
          <w:sz w:val="24"/>
          <w:szCs w:val="24"/>
        </w:rPr>
        <w:t>Cefalea ex novo o in sede mai prima riferita</w:t>
      </w:r>
    </w:p>
    <w:p w14:paraId="45A3338A" w14:textId="77777777" w:rsidR="001A08BD" w:rsidRPr="00D970C3" w:rsidRDefault="001A08BD" w:rsidP="00C25BDF">
      <w:pPr>
        <w:pStyle w:val="Paragrafoelenco"/>
        <w:numPr>
          <w:ilvl w:val="0"/>
          <w:numId w:val="2"/>
        </w:numPr>
        <w:spacing w:after="160" w:line="480" w:lineRule="auto"/>
        <w:rPr>
          <w:rFonts w:ascii="Times New Roman" w:hAnsi="Times New Roman"/>
          <w:sz w:val="24"/>
          <w:szCs w:val="24"/>
        </w:rPr>
      </w:pPr>
      <w:r w:rsidRPr="00D970C3">
        <w:rPr>
          <w:rFonts w:ascii="Times New Roman" w:hAnsi="Times New Roman"/>
          <w:sz w:val="24"/>
          <w:szCs w:val="24"/>
        </w:rPr>
        <w:t>Dolorabilità o ridotta pulsatilità dell’arteria temporale (non relata ad aterosclerosi)</w:t>
      </w:r>
    </w:p>
    <w:p w14:paraId="20FD1BB6" w14:textId="77777777" w:rsidR="001A08BD" w:rsidRPr="00D970C3" w:rsidRDefault="001A08BD" w:rsidP="00C25BDF">
      <w:pPr>
        <w:pStyle w:val="Paragrafoelenco"/>
        <w:numPr>
          <w:ilvl w:val="0"/>
          <w:numId w:val="2"/>
        </w:numPr>
        <w:spacing w:after="160" w:line="480" w:lineRule="auto"/>
        <w:rPr>
          <w:rFonts w:ascii="Times New Roman" w:hAnsi="Times New Roman"/>
          <w:sz w:val="24"/>
          <w:szCs w:val="24"/>
        </w:rPr>
      </w:pPr>
      <w:r w:rsidRPr="00D970C3">
        <w:rPr>
          <w:rFonts w:ascii="Times New Roman" w:hAnsi="Times New Roman"/>
          <w:sz w:val="24"/>
          <w:szCs w:val="24"/>
        </w:rPr>
        <w:t>Biopsia dell’arteria temporale positiva</w:t>
      </w:r>
    </w:p>
    <w:p w14:paraId="291CE225"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La patologia risulta classificabile se positivi ≥ 3/5 criteri (sensibilità 93,5%, specificità 91,2%). </w:t>
      </w:r>
    </w:p>
    <w:p w14:paraId="541C74CA"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 xml:space="preserve">Bisogna tuttavia tenere sempre presente che questi non sono criteri diagnostici, ma appunto classificativi. Sono utilizzati per differenziare la AGC da altre forme di vasculiti, mentre non possono essere utilizzati per differenziare AGC da altre </w:t>
      </w:r>
      <w:r w:rsidRPr="00D970C3">
        <w:rPr>
          <w:rFonts w:ascii="Times New Roman" w:hAnsi="Times New Roman" w:cs="Times New Roman"/>
          <w:sz w:val="24"/>
          <w:szCs w:val="24"/>
        </w:rPr>
        <w:lastRenderedPageBreak/>
        <w:t>patologie. Risultano dunque più utili all’interno di gruppi di studio con pazienti affetti da vasculite, più che per la diagnosi del singolo caso specifico.</w:t>
      </w:r>
    </w:p>
    <w:p w14:paraId="62B950EF" w14:textId="77777777" w:rsidR="001A08BD" w:rsidRPr="00D970C3" w:rsidRDefault="001A08BD" w:rsidP="00C25BDF">
      <w:pPr>
        <w:spacing w:line="480" w:lineRule="auto"/>
        <w:rPr>
          <w:rFonts w:ascii="Times New Roman" w:hAnsi="Times New Roman" w:cs="Times New Roman"/>
          <w:sz w:val="24"/>
          <w:szCs w:val="24"/>
        </w:rPr>
      </w:pPr>
      <w:r w:rsidRPr="00D970C3">
        <w:rPr>
          <w:rFonts w:ascii="Times New Roman" w:hAnsi="Times New Roman" w:cs="Times New Roman"/>
          <w:sz w:val="24"/>
          <w:szCs w:val="24"/>
        </w:rPr>
        <w:t>Soddisfare i criteri classificativi non equivale quindi a fare diagnosi nel singolo paziente; la diagnosi definitiva dovrebbe infatti basarsi su reperti clinici, laboratoristici, strumentali ed istologici</w:t>
      </w:r>
      <w:r w:rsidR="006C7DCC"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{"citationItems":[{"id":"ITEM-1","itemData":{"author":[{"dropping-particle":"","family":"Sundel","given":"Robert","non-dropping-particle":"","parse-names":false,"suffix":""},{"dropping-particle":"","family":"Miller","given":"Amy S","non-dropping-particle":"","parse-names":false,"suffix":""}],"id":"ITEM-1","issue":"March","issued":{"date-parts":[["2018"]]},"page":"1-28","title":"American College of Rheumatology ( ACR ) Vasculitis Guideline Project Plan – March 2018 American College of Rheumatology ( ACR ) Vasculitis Guideline Project Plan – March 2018","type":"article-journal"},"uris":["http://www.mendeley.com/documents/?uuid=11cbb2d6-8f19-43c1-ab78-a0c9ee887173"]}],"mendeley":{"formattedCitation":"&lt;sup&gt;3&lt;/sup&gt;","plainTextFormattedCitation":"3","previouslyFormattedCitation":"&lt;sup&gt;3&lt;/sup&gt;"},"properties":{"noteIndex":0},"schema":"https://github.com/citation-style-language/schema/raw/master/csl-citation.json"}</w:instrText>
      </w:r>
      <w:r w:rsidR="006C7DCC"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3</w:t>
      </w:r>
      <w:r w:rsidR="006C7DCC" w:rsidRPr="00D970C3">
        <w:rPr>
          <w:rFonts w:ascii="Times New Roman" w:hAnsi="Times New Roman" w:cs="Times New Roman"/>
          <w:sz w:val="24"/>
          <w:szCs w:val="24"/>
        </w:rPr>
        <w:fldChar w:fldCharType="end"/>
      </w:r>
      <w:r w:rsidRPr="00D970C3">
        <w:rPr>
          <w:rFonts w:ascii="Times New Roman" w:hAnsi="Times New Roman" w:cs="Times New Roman"/>
          <w:sz w:val="24"/>
          <w:szCs w:val="24"/>
        </w:rPr>
        <w:t xml:space="preserve"> </w:t>
      </w:r>
      <w:r w:rsidR="006C7DCC" w:rsidRPr="00D970C3">
        <w:rPr>
          <w:rFonts w:ascii="Times New Roman" w:hAnsi="Times New Roman" w:cs="Times New Roman"/>
          <w:sz w:val="24"/>
          <w:szCs w:val="24"/>
        </w:rPr>
        <w:fldChar w:fldCharType="begin" w:fldLock="1"/>
      </w:r>
      <w:r w:rsidR="00F66ECC" w:rsidRPr="00D970C3">
        <w:rPr>
          <w:rFonts w:ascii="Times New Roman" w:hAnsi="Times New Roman" w:cs="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6C7DCC" w:rsidRPr="00D970C3">
        <w:rPr>
          <w:rFonts w:ascii="Times New Roman" w:hAnsi="Times New Roman" w:cs="Times New Roman"/>
          <w:sz w:val="24"/>
          <w:szCs w:val="24"/>
        </w:rPr>
        <w:fldChar w:fldCharType="separate"/>
      </w:r>
      <w:r w:rsidR="00C41B3B" w:rsidRPr="00D970C3">
        <w:rPr>
          <w:rFonts w:ascii="Times New Roman" w:hAnsi="Times New Roman" w:cs="Times New Roman"/>
          <w:noProof/>
          <w:sz w:val="24"/>
          <w:szCs w:val="24"/>
          <w:vertAlign w:val="superscript"/>
        </w:rPr>
        <w:t>9</w:t>
      </w:r>
      <w:r w:rsidR="006C7DCC" w:rsidRPr="00D970C3">
        <w:rPr>
          <w:rFonts w:ascii="Times New Roman" w:hAnsi="Times New Roman" w:cs="Times New Roman"/>
          <w:sz w:val="24"/>
          <w:szCs w:val="24"/>
        </w:rPr>
        <w:fldChar w:fldCharType="end"/>
      </w:r>
      <w:r w:rsidRPr="00D970C3">
        <w:rPr>
          <w:rFonts w:ascii="Times New Roman" w:hAnsi="Times New Roman" w:cs="Times New Roman"/>
          <w:sz w:val="24"/>
          <w:szCs w:val="24"/>
        </w:rPr>
        <w:t>.</w:t>
      </w:r>
    </w:p>
    <w:p w14:paraId="7A62BBB6" w14:textId="77777777" w:rsidR="001A08BD" w:rsidRPr="00D970C3" w:rsidRDefault="001A08BD" w:rsidP="00C25BDF">
      <w:pPr>
        <w:pStyle w:val="Paragrafoelenco"/>
        <w:spacing w:line="480" w:lineRule="auto"/>
        <w:ind w:left="0"/>
        <w:rPr>
          <w:rFonts w:ascii="Times New Roman" w:hAnsi="Times New Roman"/>
          <w:sz w:val="24"/>
          <w:szCs w:val="24"/>
        </w:rPr>
      </w:pPr>
      <w:r w:rsidRPr="00D970C3">
        <w:rPr>
          <w:rFonts w:ascii="Times New Roman" w:hAnsi="Times New Roman"/>
          <w:sz w:val="24"/>
          <w:szCs w:val="24"/>
        </w:rPr>
        <w:t xml:space="preserve">Le linee guida aggiornate a Marzo 2018 </w:t>
      </w:r>
      <w:r w:rsidR="006C7DCC"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{"citationItems":[{"id":"ITEM-1","itemData":{"author":[{"dropping-particle":"","family":"Sundel","given":"Robert","non-dropping-particle":"","parse-names":false,"suffix":""},{"dropping-particle":"","family":"Miller","given":"Amy S","non-dropping-particle":"","parse-names":false,"suffix":""}],"id":"ITEM-1","issue":"March","issued":{"date-parts":[["2018"]]},"page":"1-28","title":"American College of Rheumatology ( ACR ) Vasculitis Guideline Project Plan – March 2018 American College of Rheumatology ( ACR ) Vasculitis Guideline Project Plan – March 2018","type":"article-journal"},"uris":["http://www.mendeley.com/documents/?uuid=11cbb2d6-8f19-43c1-ab78-a0c9ee887173"]}],"mendeley":{"formattedCitation":"&lt;sup&gt;3&lt;/sup&gt;","plainTextFormattedCitation":"3","previouslyFormattedCitation":"&lt;sup&gt;3&lt;/sup&gt;"},"properties":{"noteIndex":0},"schema":"https://github.com/citation-style-language/schema/raw/master/csl-citation.json"}</w:instrText>
      </w:r>
      <w:r w:rsidR="006C7DCC"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3</w:t>
      </w:r>
      <w:r w:rsidR="006C7DCC" w:rsidRPr="00D970C3">
        <w:rPr>
          <w:rFonts w:ascii="Times New Roman" w:hAnsi="Times New Roman"/>
          <w:sz w:val="24"/>
          <w:szCs w:val="24"/>
        </w:rPr>
        <w:fldChar w:fldCharType="end"/>
      </w:r>
      <w:r w:rsidRPr="00D970C3">
        <w:rPr>
          <w:rFonts w:ascii="Times New Roman" w:hAnsi="Times New Roman"/>
          <w:sz w:val="24"/>
          <w:szCs w:val="24"/>
        </w:rPr>
        <w:t xml:space="preserve"> si pongono come obiettivo quello di standardizzare il processo diagnostico-terapeutico della AGC, basandosi sull’evidenza scientifica.</w:t>
      </w:r>
    </w:p>
    <w:p w14:paraId="38C81B9F" w14:textId="77777777" w:rsidR="001A08BD" w:rsidRPr="00D970C3" w:rsidRDefault="001A08BD" w:rsidP="00C25BDF">
      <w:pPr>
        <w:pStyle w:val="Paragrafoelenco"/>
        <w:spacing w:line="480" w:lineRule="auto"/>
        <w:ind w:left="0"/>
        <w:rPr>
          <w:rFonts w:ascii="Times New Roman" w:hAnsi="Times New Roman"/>
          <w:sz w:val="24"/>
          <w:szCs w:val="24"/>
        </w:rPr>
      </w:pPr>
      <w:r w:rsidRPr="00D970C3">
        <w:rPr>
          <w:rFonts w:ascii="Times New Roman" w:hAnsi="Times New Roman"/>
          <w:sz w:val="24"/>
          <w:szCs w:val="24"/>
        </w:rPr>
        <w:t>A questo scopo propongono la seguente stadiazione della malattia, differenziando i diversi stadi in cui la malattia si può manifestare:</w:t>
      </w:r>
    </w:p>
    <w:p w14:paraId="6FD868D1" w14:textId="77777777" w:rsidR="001A08BD" w:rsidRPr="00D970C3" w:rsidRDefault="001A08BD" w:rsidP="00C25BDF">
      <w:pPr>
        <w:pStyle w:val="Default"/>
        <w:numPr>
          <w:ilvl w:val="0"/>
          <w:numId w:val="20"/>
        </w:numPr>
        <w:spacing w:line="480" w:lineRule="auto"/>
        <w:rPr>
          <w:rFonts w:ascii="Times New Roman" w:hAnsi="Times New Roman" w:cs="Times New Roman"/>
        </w:rPr>
      </w:pPr>
      <w:r w:rsidRPr="00D970C3">
        <w:rPr>
          <w:rFonts w:ascii="Times New Roman" w:hAnsi="Times New Roman" w:cs="Times New Roman"/>
          <w:b/>
        </w:rPr>
        <w:t>Malattia sospettata</w:t>
      </w:r>
      <w:r w:rsidRPr="00D970C3">
        <w:rPr>
          <w:rFonts w:ascii="Times New Roman" w:hAnsi="Times New Roman" w:cs="Times New Roman"/>
        </w:rPr>
        <w:t>: segni clinici e/o sintomi suggestivi di AGC e non spiegati da altre patologie</w:t>
      </w:r>
    </w:p>
    <w:p w14:paraId="5C3A13C2" w14:textId="77777777" w:rsidR="001A08BD" w:rsidRPr="00D970C3" w:rsidRDefault="001A08BD" w:rsidP="00C25BDF">
      <w:pPr>
        <w:pStyle w:val="Default"/>
        <w:numPr>
          <w:ilvl w:val="0"/>
          <w:numId w:val="20"/>
        </w:numPr>
        <w:spacing w:line="480" w:lineRule="auto"/>
        <w:rPr>
          <w:rFonts w:ascii="Times New Roman" w:hAnsi="Times New Roman" w:cs="Times New Roman"/>
        </w:rPr>
      </w:pPr>
      <w:r w:rsidRPr="00D970C3">
        <w:rPr>
          <w:rFonts w:ascii="Times New Roman" w:hAnsi="Times New Roman" w:cs="Times New Roman"/>
          <w:b/>
        </w:rPr>
        <w:t>Malattia attiva</w:t>
      </w:r>
      <w:r w:rsidRPr="00D970C3">
        <w:rPr>
          <w:rFonts w:ascii="Times New Roman" w:hAnsi="Times New Roman" w:cs="Times New Roman"/>
        </w:rPr>
        <w:t xml:space="preserve">: segni clinici nuovi, persistenti o in peggioramento e/o sintomi attribuiti alla AGC e non attribuibili ad un danno preesistente. </w:t>
      </w:r>
    </w:p>
    <w:p w14:paraId="3B14E0CE" w14:textId="77777777" w:rsidR="001A08BD" w:rsidRPr="00D970C3" w:rsidRDefault="001A08BD" w:rsidP="00C25BDF">
      <w:pPr>
        <w:pStyle w:val="Default"/>
        <w:numPr>
          <w:ilvl w:val="0"/>
          <w:numId w:val="20"/>
        </w:numPr>
        <w:spacing w:line="480" w:lineRule="auto"/>
        <w:rPr>
          <w:rFonts w:ascii="Times New Roman" w:hAnsi="Times New Roman" w:cs="Times New Roman"/>
        </w:rPr>
      </w:pPr>
      <w:r w:rsidRPr="00D970C3">
        <w:rPr>
          <w:rFonts w:ascii="Times New Roman" w:hAnsi="Times New Roman" w:cs="Times New Roman"/>
          <w:b/>
        </w:rPr>
        <w:t>Manifestazione di ischemia cranica</w:t>
      </w:r>
      <w:r w:rsidRPr="00D970C3">
        <w:rPr>
          <w:rFonts w:ascii="Times New Roman" w:hAnsi="Times New Roman" w:cs="Times New Roman"/>
        </w:rPr>
        <w:t>: perdita della vista, amaurosi fugace, e altri segni e/o sintomi di imminente perdita della vista</w:t>
      </w:r>
    </w:p>
    <w:p w14:paraId="2B0104D2" w14:textId="77777777" w:rsidR="001A08BD" w:rsidRPr="00D970C3" w:rsidRDefault="001A08BD" w:rsidP="00C25BDF">
      <w:pPr>
        <w:pStyle w:val="Default"/>
        <w:numPr>
          <w:ilvl w:val="0"/>
          <w:numId w:val="20"/>
        </w:numPr>
        <w:spacing w:line="480" w:lineRule="auto"/>
        <w:rPr>
          <w:rFonts w:ascii="Times New Roman" w:hAnsi="Times New Roman" w:cs="Times New Roman"/>
        </w:rPr>
      </w:pPr>
      <w:r w:rsidRPr="00D970C3">
        <w:rPr>
          <w:rFonts w:ascii="Times New Roman" w:hAnsi="Times New Roman" w:cs="Times New Roman"/>
          <w:b/>
        </w:rPr>
        <w:t>Malattia severa</w:t>
      </w:r>
      <w:r w:rsidRPr="00D970C3">
        <w:rPr>
          <w:rFonts w:ascii="Times New Roman" w:hAnsi="Times New Roman" w:cs="Times New Roman"/>
        </w:rPr>
        <w:t xml:space="preserve">: coinvolgimento vascolare prodromico di fallimento d’organo (perdita della vista, stenosi di grandi vasi che minaccino ischemia di un arto, aneurisma aortico e stroke) </w:t>
      </w:r>
    </w:p>
    <w:p w14:paraId="6122B8CA" w14:textId="77777777" w:rsidR="001A08BD" w:rsidRPr="00D970C3" w:rsidRDefault="001A08BD" w:rsidP="00C25BDF">
      <w:pPr>
        <w:pStyle w:val="Default"/>
        <w:numPr>
          <w:ilvl w:val="0"/>
          <w:numId w:val="20"/>
        </w:numPr>
        <w:spacing w:line="480" w:lineRule="auto"/>
        <w:rPr>
          <w:rFonts w:ascii="Times New Roman" w:hAnsi="Times New Roman" w:cs="Times New Roman"/>
        </w:rPr>
      </w:pPr>
      <w:r w:rsidRPr="00D970C3">
        <w:rPr>
          <w:rFonts w:ascii="Times New Roman" w:hAnsi="Times New Roman" w:cs="Times New Roman"/>
          <w:b/>
        </w:rPr>
        <w:t>Malattia in remissione</w:t>
      </w:r>
      <w:r w:rsidRPr="00D970C3">
        <w:rPr>
          <w:rFonts w:ascii="Times New Roman" w:hAnsi="Times New Roman" w:cs="Times New Roman"/>
        </w:rPr>
        <w:t xml:space="preserve">: assenza di segni clinici o sintomi attribuiti alla AGC durante o al di fuori della terapia immunosoppressiva. </w:t>
      </w:r>
    </w:p>
    <w:p w14:paraId="0C1808AF" w14:textId="77777777" w:rsidR="001A08BD" w:rsidRPr="00D970C3" w:rsidRDefault="001A08BD" w:rsidP="00C25BDF">
      <w:pPr>
        <w:pStyle w:val="Default"/>
        <w:numPr>
          <w:ilvl w:val="0"/>
          <w:numId w:val="20"/>
        </w:numPr>
        <w:spacing w:line="480" w:lineRule="auto"/>
        <w:rPr>
          <w:rFonts w:ascii="Times New Roman" w:hAnsi="Times New Roman" w:cs="Times New Roman"/>
        </w:rPr>
      </w:pPr>
      <w:r w:rsidRPr="00D970C3">
        <w:rPr>
          <w:rFonts w:ascii="Times New Roman" w:hAnsi="Times New Roman" w:cs="Times New Roman"/>
          <w:b/>
        </w:rPr>
        <w:t>Ricaduta</w:t>
      </w:r>
      <w:r w:rsidRPr="00D970C3">
        <w:rPr>
          <w:rFonts w:ascii="Times New Roman" w:hAnsi="Times New Roman" w:cs="Times New Roman"/>
        </w:rPr>
        <w:t xml:space="preserve">: ricorrenza dell’attività della malattia che fa seguito ad un periodo di remissione </w:t>
      </w:r>
    </w:p>
    <w:p w14:paraId="1111D940" w14:textId="77777777" w:rsidR="001A08BD" w:rsidRPr="00D970C3" w:rsidRDefault="001A08BD" w:rsidP="00C25BDF">
      <w:pPr>
        <w:pStyle w:val="Default"/>
        <w:spacing w:line="480" w:lineRule="auto"/>
        <w:rPr>
          <w:rFonts w:ascii="Times New Roman" w:hAnsi="Times New Roman" w:cs="Times New Roman"/>
        </w:rPr>
      </w:pPr>
    </w:p>
    <w:p w14:paraId="74C81E26" w14:textId="77777777" w:rsidR="001A08BD" w:rsidRPr="00D970C3" w:rsidRDefault="001A08BD" w:rsidP="00C25BDF">
      <w:pPr>
        <w:pStyle w:val="Default"/>
        <w:spacing w:line="480" w:lineRule="auto"/>
        <w:rPr>
          <w:rFonts w:ascii="Times New Roman" w:hAnsi="Times New Roman" w:cs="Times New Roman"/>
        </w:rPr>
      </w:pPr>
      <w:r w:rsidRPr="00D970C3">
        <w:rPr>
          <w:rFonts w:ascii="Times New Roman" w:hAnsi="Times New Roman" w:cs="Times New Roman"/>
        </w:rPr>
        <w:t xml:space="preserve">Tra le altre indicazioni viene anche </w:t>
      </w:r>
      <w:r w:rsidR="00EE59B5" w:rsidRPr="00D970C3">
        <w:rPr>
          <w:rFonts w:ascii="Times New Roman" w:hAnsi="Times New Roman" w:cs="Times New Roman"/>
        </w:rPr>
        <w:t>suggerit</w:t>
      </w:r>
      <w:r w:rsidRPr="00D970C3">
        <w:rPr>
          <w:rFonts w:ascii="Times New Roman" w:hAnsi="Times New Roman" w:cs="Times New Roman"/>
        </w:rPr>
        <w:t xml:space="preserve">o l’utilizzo di due score per quantificare rispettivamente il grado di attività della </w:t>
      </w:r>
      <w:r w:rsidR="00EE59B5" w:rsidRPr="00D970C3">
        <w:rPr>
          <w:rFonts w:ascii="Times New Roman" w:hAnsi="Times New Roman" w:cs="Times New Roman"/>
        </w:rPr>
        <w:t>malatti</w:t>
      </w:r>
      <w:r w:rsidRPr="00D970C3">
        <w:rPr>
          <w:rFonts w:ascii="Times New Roman" w:hAnsi="Times New Roman" w:cs="Times New Roman"/>
        </w:rPr>
        <w:t>a e i danni provocati da quest’ultima: il Birmingham Vasculitis Activity Score (BVAS) (o esami specifici di attività della malattia) e il Vasculitis Damage Index (VDI) (o esami specifici del danno correlato alla malattia).</w:t>
      </w:r>
    </w:p>
    <w:p w14:paraId="3C3996F5" w14:textId="77777777" w:rsidR="001A08BD" w:rsidRPr="00D970C3" w:rsidRDefault="001A08BD" w:rsidP="00C25BDF">
      <w:pPr>
        <w:pStyle w:val="Paragrafoelenco"/>
        <w:spacing w:line="480" w:lineRule="auto"/>
        <w:ind w:left="0"/>
        <w:rPr>
          <w:rFonts w:ascii="Times New Roman" w:hAnsi="Times New Roman"/>
          <w:sz w:val="24"/>
          <w:szCs w:val="24"/>
        </w:rPr>
      </w:pPr>
      <w:r w:rsidRPr="00D970C3">
        <w:rPr>
          <w:rFonts w:ascii="Times New Roman" w:hAnsi="Times New Roman"/>
          <w:sz w:val="24"/>
          <w:szCs w:val="24"/>
        </w:rPr>
        <w:t xml:space="preserve">In Europa, uno dei gruppi ad occuparsi della stesura delle linee guida, è stato la Swedish Society of Rheumatology </w:t>
      </w:r>
      <w:r w:rsidR="00587BC5"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DOI":"10.1080/03009742.2019.1571223","ISSN":"0300-9742","author":[{"dropping-particle":"","family":"Turesson","given":"C","non-dropping-particle":"","parse-names":false,"suffix":""},{"dropping-particle":"","family":"Börjesson","given":"O","non-dropping-particle":"","parse-names":false,"suffix":""},{"dropping-particle":"","family":"Larsson","given":"K","non-dropping-particle":"","parse-names":false,"suffix":""},{"dropping-particle":"","family":"Mohammad","given":"AJ","non-dropping-particle":"","parse-names":false,"suffix":""},{"dropping-particle":"","family":"Knight","given":"A","non-dropping-particle":"","parse-names":false,"suffix":""}],"container-title":"Scandinavian Journal of Rheumatology","id":"ITEM-1","issue":"00","issued":{"date-parts":[["2019"]]},"page":"1-7","publisher":"Taylor &amp; Francis","title":"Swedish Society of Rheumatology 2018 guidelines for investigation, treatment, and follow-up of giant cell arteritis","type":"article-journal","volume":"00"},"uris":["http://www.mendeley.com/documents/?uuid=fbe917cc-dd53-44db-8782-4337413bddd5"]}],"mendeley":{"formattedCitation":"&lt;sup&gt;29&lt;/sup&gt;","plainTextFormattedCitation":"29","previouslyFormattedCitation":"&lt;sup&gt;29&lt;/sup&gt;"},"properties":{"noteIndex":0},"schema":"https://github.com/citation-style-language/schema/raw/master/csl-citation.json"}</w:instrText>
      </w:r>
      <w:r w:rsidR="00587BC5"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29</w:t>
      </w:r>
      <w:r w:rsidR="00587BC5" w:rsidRPr="00D970C3">
        <w:rPr>
          <w:rFonts w:ascii="Times New Roman" w:hAnsi="Times New Roman"/>
          <w:sz w:val="24"/>
          <w:szCs w:val="24"/>
        </w:rPr>
        <w:fldChar w:fldCharType="end"/>
      </w:r>
      <w:r w:rsidRPr="00D970C3">
        <w:rPr>
          <w:rFonts w:ascii="Times New Roman" w:hAnsi="Times New Roman"/>
          <w:sz w:val="24"/>
          <w:szCs w:val="24"/>
        </w:rPr>
        <w:t xml:space="preserve">. Anche in questo caso l’ultima versione risale a marzo 2018. </w:t>
      </w:r>
    </w:p>
    <w:p w14:paraId="0861184A" w14:textId="77777777" w:rsidR="001A08BD" w:rsidRPr="00D970C3" w:rsidRDefault="001A08BD" w:rsidP="00C25BDF">
      <w:pPr>
        <w:pStyle w:val="Paragrafoelenco"/>
        <w:spacing w:line="480" w:lineRule="auto"/>
        <w:ind w:left="0"/>
        <w:rPr>
          <w:rFonts w:ascii="Times New Roman" w:hAnsi="Times New Roman"/>
          <w:sz w:val="24"/>
          <w:szCs w:val="24"/>
        </w:rPr>
      </w:pPr>
      <w:r w:rsidRPr="00D970C3">
        <w:rPr>
          <w:rFonts w:ascii="Times New Roman" w:hAnsi="Times New Roman"/>
          <w:sz w:val="24"/>
          <w:szCs w:val="24"/>
        </w:rPr>
        <w:t xml:space="preserve">Il loro lavoro puntava ad una review delle precedenti indicazioni riguardo diagnosi, trattamento e follow-up in soggetti affetti da AGC, in modo da produrre una versione di linee guida evidence-based a completamento delle linee guida stabilite da altri collegi di reumatologia. Questo progetto probabilmente può essere stato </w:t>
      </w:r>
      <w:r w:rsidR="00EE59B5" w:rsidRPr="00D970C3">
        <w:rPr>
          <w:rFonts w:ascii="Times New Roman" w:hAnsi="Times New Roman"/>
          <w:sz w:val="24"/>
          <w:szCs w:val="24"/>
        </w:rPr>
        <w:t>incoraggiato</w:t>
      </w:r>
      <w:r w:rsidRPr="00D970C3">
        <w:rPr>
          <w:rFonts w:ascii="Times New Roman" w:hAnsi="Times New Roman"/>
          <w:sz w:val="24"/>
          <w:szCs w:val="24"/>
        </w:rPr>
        <w:t xml:space="preserve"> </w:t>
      </w:r>
      <w:r w:rsidR="00EE59B5" w:rsidRPr="00D970C3">
        <w:rPr>
          <w:rFonts w:ascii="Times New Roman" w:hAnsi="Times New Roman"/>
          <w:sz w:val="24"/>
          <w:szCs w:val="24"/>
        </w:rPr>
        <w:t>dalla nota maggiore</w:t>
      </w:r>
      <w:r w:rsidRPr="00D970C3">
        <w:rPr>
          <w:rFonts w:ascii="Times New Roman" w:hAnsi="Times New Roman"/>
          <w:sz w:val="24"/>
          <w:szCs w:val="24"/>
        </w:rPr>
        <w:t xml:space="preserve"> incidenza di AGC che si riscontra nelle popolazioni Scandinave. </w:t>
      </w:r>
    </w:p>
    <w:p w14:paraId="0FED75D9" w14:textId="77777777" w:rsidR="001A08BD" w:rsidRPr="00D970C3" w:rsidRDefault="001A08BD" w:rsidP="00C25BDF">
      <w:pPr>
        <w:pStyle w:val="Paragrafoelenco"/>
        <w:spacing w:line="480" w:lineRule="auto"/>
        <w:ind w:left="0"/>
        <w:rPr>
          <w:rFonts w:ascii="Times New Roman" w:hAnsi="Times New Roman"/>
          <w:sz w:val="24"/>
          <w:szCs w:val="24"/>
        </w:rPr>
      </w:pPr>
    </w:p>
    <w:p w14:paraId="23CECAB1" w14:textId="77777777" w:rsidR="001A08BD" w:rsidRPr="00D970C3" w:rsidRDefault="001A08BD" w:rsidP="00C25BDF">
      <w:pPr>
        <w:pStyle w:val="Paragrafoelenco"/>
        <w:spacing w:line="480" w:lineRule="auto"/>
        <w:ind w:left="0"/>
        <w:rPr>
          <w:rFonts w:ascii="Times New Roman" w:hAnsi="Times New Roman"/>
          <w:sz w:val="24"/>
          <w:szCs w:val="24"/>
        </w:rPr>
      </w:pPr>
      <w:r w:rsidRPr="00D970C3">
        <w:rPr>
          <w:rFonts w:ascii="Times New Roman" w:hAnsi="Times New Roman"/>
          <w:sz w:val="24"/>
          <w:szCs w:val="24"/>
        </w:rPr>
        <w:t>Secondo le linee guida scandinave la diagnosi deve basarsi sulla storia medica e sulle evidenze cliniche e deve essere supportata da indagini di laboratorio e, nelle migliori delle ipotesi, da una biopsia positiva.</w:t>
      </w:r>
    </w:p>
    <w:p w14:paraId="4F42BF5E" w14:textId="77777777" w:rsidR="001A08BD" w:rsidRPr="00D970C3" w:rsidRDefault="001A08BD" w:rsidP="001C0E1A">
      <w:pPr>
        <w:pStyle w:val="Paragrafoelenco"/>
        <w:spacing w:line="480" w:lineRule="auto"/>
        <w:ind w:left="0"/>
        <w:rPr>
          <w:rFonts w:ascii="Times New Roman" w:hAnsi="Times New Roman"/>
          <w:sz w:val="24"/>
          <w:szCs w:val="24"/>
        </w:rPr>
      </w:pPr>
      <w:r w:rsidRPr="00D970C3">
        <w:rPr>
          <w:rFonts w:ascii="Times New Roman" w:hAnsi="Times New Roman"/>
          <w:sz w:val="24"/>
          <w:szCs w:val="24"/>
        </w:rPr>
        <w:t>A tal proposito vengono ripresi i criteri classificativi (e non diagnostici) proposti dall’ACR nel 1990</w:t>
      </w:r>
      <w:r w:rsidR="00913E2B" w:rsidRPr="00D970C3">
        <w:rPr>
          <w:rFonts w:ascii="Times New Roman" w:hAnsi="Times New Roman"/>
          <w:sz w:val="24"/>
          <w:szCs w:val="24"/>
        </w:rPr>
        <w:t xml:space="preserve"> </w:t>
      </w:r>
      <w:r w:rsidR="00913E2B"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{"citationItems":[{"id":"ITEM-1","itemData":{"author":[{"dropping-particle":"","family":"Sundel","given":"Robert","non-dropping-particle":"","parse-names":false,"suffix":""},{"dropping-particle":"","family":"Miller","given":"Amy S","non-dropping-particle":"","parse-names":false,"suffix":""}],"id":"ITEM-1","issue":"March","issued":{"date-parts":[["2018"]]},"page":"1-28","title":"American College of Rheumatology ( ACR ) Vasculitis Guideline Project Plan – March 2018 American College of Rheumatology ( ACR ) Vasculitis Guideline Project Plan – March 2018","type":"article-journal"},"uris":["http://www.mendeley.com/documents/?uuid=11cbb2d6-8f19-43c1-ab78-a0c9ee887173"]}],"mendeley":{"formattedCitation":"&lt;sup&gt;3&lt;/sup&gt;","plainTextFormattedCitation":"3","previouslyFormattedCitation":"&lt;sup&gt;3&lt;/sup&gt;"},"properties":{"noteIndex":0},"schema":"https://github.com/citation-style-language/schema/raw/master/csl-citation.json"}</w:instrText>
      </w:r>
      <w:r w:rsidR="00913E2B"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3</w:t>
      </w:r>
      <w:r w:rsidR="00913E2B" w:rsidRPr="00D970C3">
        <w:rPr>
          <w:rFonts w:ascii="Times New Roman" w:hAnsi="Times New Roman"/>
          <w:sz w:val="24"/>
          <w:szCs w:val="24"/>
        </w:rPr>
        <w:fldChar w:fldCharType="end"/>
      </w:r>
      <w:r w:rsidRPr="00D970C3">
        <w:rPr>
          <w:rFonts w:ascii="Times New Roman" w:hAnsi="Times New Roman"/>
          <w:sz w:val="24"/>
          <w:szCs w:val="24"/>
        </w:rPr>
        <w:t>, e ridiscussi per proporre alcuni nuovi punti, come per esempio introdurre i reperti di imaging</w:t>
      </w:r>
      <w:r w:rsidR="00913E2B"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{"citationItems":[{"id":"ITEM-1","itemData":{"author":[{"dropping-particle":"","family":"Sundel","given":"Robert","non-dropping-particle":"","parse-names":false,"suffix":""},{"dropping-particle":"","family":"Miller","given":"Amy S","non-dropping-particle":"","parse-names":false,"suffix":""}],"id":"ITEM-1","issue":"March","issued":{"date-parts":[["2018"]]},"page":"1-28","title":"American College of Rheumatology ( ACR ) Vasculitis Guideline Project Plan – March 2018 American College of Rheumatology ( ACR ) Vasculitis Guideline Project Plan – March 2018","type":"article-journal"},"uris":["http://www.mendeley.com/documents/?uuid=11cbb2d6-8f19-43c1-ab78-a0c9ee887173"]}],"mendeley":{"formattedCitation":"&lt;sup&gt;3&lt;/sup&gt;","plainTextFormattedCitation":"3","previouslyFormattedCitation":"&lt;sup&gt;3&lt;/sup&gt;"},"properties":{"noteIndex":0},"schema":"https://github.com/citation-style-language/schema/raw/master/csl-citation.json"}</w:instrText>
      </w:r>
      <w:r w:rsidR="00913E2B"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3</w:t>
      </w:r>
      <w:r w:rsidR="00913E2B" w:rsidRPr="00D970C3">
        <w:rPr>
          <w:rFonts w:ascii="Times New Roman" w:hAnsi="Times New Roman"/>
          <w:sz w:val="24"/>
          <w:szCs w:val="24"/>
        </w:rPr>
        <w:fldChar w:fldCharType="end"/>
      </w:r>
      <w:r w:rsidRPr="00D970C3">
        <w:rPr>
          <w:rFonts w:ascii="Times New Roman" w:hAnsi="Times New Roman"/>
          <w:sz w:val="24"/>
          <w:szCs w:val="24"/>
        </w:rPr>
        <w:t xml:space="preserve"> </w:t>
      </w:r>
      <w:r w:rsidR="00913E2B" w:rsidRPr="00D970C3">
        <w:rPr>
          <w:rFonts w:ascii="Times New Roman" w:hAnsi="Times New Roman"/>
          <w:sz w:val="24"/>
          <w:szCs w:val="24"/>
        </w:rPr>
        <w:fldChar w:fldCharType="begin" w:fldLock="1"/>
      </w:r>
      <w:r w:rsidR="00F66ECC" w:rsidRPr="00D970C3">
        <w:rPr>
          <w:rFonts w:ascii="Times New Roman" w:hAnsi="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913E2B" w:rsidRPr="00D970C3">
        <w:rPr>
          <w:rFonts w:ascii="Times New Roman" w:hAnsi="Times New Roman"/>
          <w:sz w:val="24"/>
          <w:szCs w:val="24"/>
        </w:rPr>
        <w:fldChar w:fldCharType="separate"/>
      </w:r>
      <w:r w:rsidR="00C41B3B" w:rsidRPr="00D970C3">
        <w:rPr>
          <w:rFonts w:ascii="Times New Roman" w:hAnsi="Times New Roman"/>
          <w:noProof/>
          <w:sz w:val="24"/>
          <w:szCs w:val="24"/>
          <w:vertAlign w:val="superscript"/>
        </w:rPr>
        <w:t>9</w:t>
      </w:r>
      <w:r w:rsidR="00913E2B" w:rsidRPr="00D970C3">
        <w:rPr>
          <w:rFonts w:ascii="Times New Roman" w:hAnsi="Times New Roman"/>
          <w:sz w:val="24"/>
          <w:szCs w:val="24"/>
        </w:rPr>
        <w:fldChar w:fldCharType="end"/>
      </w:r>
      <w:r w:rsidR="00913E2B" w:rsidRPr="00D970C3">
        <w:rPr>
          <w:rFonts w:ascii="Times New Roman" w:hAnsi="Times New Roman"/>
          <w:sz w:val="24"/>
          <w:szCs w:val="24"/>
        </w:rPr>
        <w:t xml:space="preserve"> </w:t>
      </w:r>
      <w:r w:rsidRPr="00D970C3">
        <w:rPr>
          <w:rFonts w:ascii="Times New Roman" w:hAnsi="Times New Roman"/>
          <w:sz w:val="24"/>
          <w:szCs w:val="24"/>
        </w:rPr>
        <w:t>(Tabella 2).</w:t>
      </w:r>
    </w:p>
    <w:p w14:paraId="4EB45589" w14:textId="48EDE2C8" w:rsidR="00657239" w:rsidRDefault="00657239">
      <w:pPr>
        <w:rPr>
          <w:rFonts w:ascii="Times New Roman" w:eastAsia="Calibri" w:hAnsi="Times New Roman" w:cs="Times New Roman"/>
        </w:rPr>
      </w:pPr>
      <w:r>
        <w:rPr>
          <w:rFonts w:ascii="Times New Roman" w:hAnsi="Times New Roman"/>
        </w:rPr>
        <w:br w:type="page"/>
      </w:r>
    </w:p>
    <w:p w14:paraId="6921E48D" w14:textId="77777777" w:rsidR="001C0E1A" w:rsidRPr="001C0E1A" w:rsidRDefault="001C0E1A" w:rsidP="001C0E1A">
      <w:pPr>
        <w:pStyle w:val="Paragrafoelenco"/>
        <w:spacing w:line="480" w:lineRule="auto"/>
        <w:ind w:left="0"/>
        <w:rPr>
          <w:rFonts w:ascii="Times New Roman" w:hAnsi="Times New Roman"/>
        </w:rPr>
      </w:pPr>
    </w:p>
    <w:p w14:paraId="7742412F" w14:textId="77777777" w:rsidR="001A08BD" w:rsidRDefault="001A08BD" w:rsidP="001C0E1A">
      <w:pPr>
        <w:pStyle w:val="Paragrafoelenco"/>
        <w:spacing w:line="240" w:lineRule="auto"/>
        <w:ind w:left="0"/>
        <w:rPr>
          <w:rFonts w:ascii="Times New Roman" w:hAnsi="Times New Roman"/>
        </w:rPr>
      </w:pPr>
      <w:r w:rsidRPr="00185E76">
        <w:rPr>
          <w:rFonts w:ascii="Times New Roman" w:hAnsi="Times New Roman"/>
          <w:b/>
        </w:rPr>
        <w:t>Tabella 2.</w:t>
      </w:r>
      <w:r w:rsidRPr="00F555AD">
        <w:rPr>
          <w:rFonts w:ascii="Times New Roman" w:hAnsi="Times New Roman"/>
        </w:rPr>
        <w:t xml:space="preserve"> Review dei criteri classificativi dell’ACR del 1990</w:t>
      </w:r>
      <w:r w:rsidR="00913E2B">
        <w:rPr>
          <w:rFonts w:ascii="Times New Roman" w:hAnsi="Times New Roman"/>
        </w:rPr>
        <w:t xml:space="preserve"> </w:t>
      </w:r>
      <w:r w:rsidR="00913E2B">
        <w:rPr>
          <w:rFonts w:ascii="Times New Roman" w:hAnsi="Times New Roman"/>
        </w:rPr>
        <w:fldChar w:fldCharType="begin" w:fldLock="1"/>
      </w:r>
      <w:r w:rsidR="00F66ECC">
        <w:rPr>
          <w:rFonts w:ascii="Times New Roman" w:hAnsi="Times New Roman"/>
        </w:rPr>
        <w:instrText>ADDIN CSL_CITATION {"citationItems":[{"id":"ITEM-1","itemData":{"DOI":"10.1080/03009742.2019.1571223","ISSN":"0300-9742","author":[{"dropping-particle":"","family":"Turesson","given":"C","non-dropping-particle":"","parse-names":false,"suffix":""},{"dropping-particle":"","family":"Börjesson","given":"O","non-dropping-particle":"","parse-names":false,"suffix":""},{"dropping-particle":"","family":"Larsson","given":"K","non-dropping-particle":"","parse-names":false,"suffix":""},{"dropping-particle":"","family":"Mohammad","given":"AJ","non-dropping-particle":"","parse-names":false,"suffix":""},{"dropping-particle":"","family":"Knight","given":"A","non-dropping-particle":"","parse-names":false,"suffix":""}],"container-title":"Scandinavian Journal of Rheumatology","id":"ITEM-1","issue":"00","issued":{"date-parts":[["2019"]]},"page":"1-7","publisher":"Taylor &amp; Francis","title":"Swedish Society of Rheumatology 2018 guidelines for investigation, treatment, and follow-up of giant cell arteritis","type":"article-journal","volume":"00"},"uris":["http://www.mendeley.com/documents/?uuid=fbe917cc-dd53-44db-8782-4337413bddd5"]}],"mendeley":{"formattedCitation":"&lt;sup&gt;29&lt;/sup&gt;","plainTextFormattedCitation":"29","previouslyFormattedCitation":"&lt;sup&gt;29&lt;/sup&gt;"},"properties":{"noteIndex":0},"schema":"https://github.com/citation-style-language/schema/raw/master/csl-citation.json"}</w:instrText>
      </w:r>
      <w:r w:rsidR="00913E2B">
        <w:rPr>
          <w:rFonts w:ascii="Times New Roman" w:hAnsi="Times New Roman"/>
        </w:rPr>
        <w:fldChar w:fldCharType="separate"/>
      </w:r>
      <w:r w:rsidR="00C41B3B" w:rsidRPr="00C41B3B">
        <w:rPr>
          <w:rFonts w:ascii="Times New Roman" w:hAnsi="Times New Roman"/>
          <w:noProof/>
          <w:vertAlign w:val="superscript"/>
        </w:rPr>
        <w:t>29</w:t>
      </w:r>
      <w:r w:rsidR="00913E2B">
        <w:rPr>
          <w:rFonts w:ascii="Times New Roman" w:hAnsi="Times New Roman"/>
        </w:rPr>
        <w:fldChar w:fldCharType="end"/>
      </w:r>
    </w:p>
    <w:tbl>
      <w:tblPr>
        <w:tblW w:w="7280" w:type="dxa"/>
        <w:tblInd w:w="75" w:type="dxa"/>
        <w:tblCellMar>
          <w:left w:w="70" w:type="dxa"/>
          <w:right w:w="70" w:type="dxa"/>
        </w:tblCellMar>
        <w:tblLook w:val="04A0" w:firstRow="1" w:lastRow="0" w:firstColumn="1" w:lastColumn="0" w:noHBand="0" w:noVBand="1"/>
      </w:tblPr>
      <w:tblGrid>
        <w:gridCol w:w="4180"/>
        <w:gridCol w:w="3100"/>
      </w:tblGrid>
      <w:tr w:rsidR="00E7137E" w:rsidRPr="00E7137E" w14:paraId="3CB7BA88" w14:textId="77777777" w:rsidTr="00E7137E">
        <w:trPr>
          <w:trHeight w:val="288"/>
        </w:trPr>
        <w:tc>
          <w:tcPr>
            <w:tcW w:w="4180" w:type="dxa"/>
            <w:tcBorders>
              <w:top w:val="single" w:sz="4" w:space="0" w:color="8EA9DB"/>
              <w:left w:val="single" w:sz="4" w:space="0" w:color="8EA9DB"/>
              <w:bottom w:val="single" w:sz="4" w:space="0" w:color="8EA9DB"/>
              <w:right w:val="single" w:sz="4" w:space="0" w:color="8EA9DB"/>
            </w:tcBorders>
            <w:shd w:val="clear" w:color="auto" w:fill="95B3D7" w:themeFill="accent1" w:themeFillTint="99"/>
            <w:noWrap/>
            <w:hideMark/>
          </w:tcPr>
          <w:p w14:paraId="1B152F14" w14:textId="77777777" w:rsidR="00E7137E" w:rsidRPr="00E7137E" w:rsidRDefault="00E7137E" w:rsidP="00E7137E">
            <w:pPr>
              <w:spacing w:after="0" w:line="240" w:lineRule="auto"/>
              <w:rPr>
                <w:rFonts w:ascii="Times New Roman" w:eastAsia="Times New Roman" w:hAnsi="Times New Roman" w:cs="Times New Roman"/>
                <w:b/>
                <w:bCs/>
                <w:color w:val="FFFFFF" w:themeColor="background1"/>
                <w:lang w:eastAsia="it-IT"/>
              </w:rPr>
            </w:pPr>
            <w:r w:rsidRPr="00E7137E">
              <w:rPr>
                <w:rFonts w:ascii="Times New Roman" w:eastAsia="Times New Roman" w:hAnsi="Times New Roman" w:cs="Times New Roman"/>
                <w:b/>
                <w:bCs/>
                <w:color w:val="FFFFFF" w:themeColor="background1"/>
                <w:lang w:eastAsia="it-IT"/>
              </w:rPr>
              <w:t>Criteri originali, ACR 1990</w:t>
            </w:r>
          </w:p>
        </w:tc>
        <w:tc>
          <w:tcPr>
            <w:tcW w:w="3100" w:type="dxa"/>
            <w:tcBorders>
              <w:top w:val="single" w:sz="4" w:space="0" w:color="8EA9DB"/>
              <w:left w:val="single" w:sz="4" w:space="0" w:color="8EA9DB"/>
              <w:bottom w:val="single" w:sz="4" w:space="0" w:color="8EA9DB"/>
              <w:right w:val="single" w:sz="4" w:space="0" w:color="8EA9DB"/>
            </w:tcBorders>
            <w:shd w:val="clear" w:color="auto" w:fill="95B3D7" w:themeFill="accent1" w:themeFillTint="99"/>
            <w:noWrap/>
            <w:hideMark/>
          </w:tcPr>
          <w:p w14:paraId="16BBC66B" w14:textId="77777777" w:rsidR="00E7137E" w:rsidRPr="00E7137E" w:rsidRDefault="00E7137E" w:rsidP="00E7137E">
            <w:pPr>
              <w:spacing w:after="0" w:line="240" w:lineRule="auto"/>
              <w:rPr>
                <w:rFonts w:ascii="Times New Roman" w:eastAsia="Times New Roman" w:hAnsi="Times New Roman" w:cs="Times New Roman"/>
                <w:b/>
                <w:bCs/>
                <w:color w:val="FFFFFF" w:themeColor="background1"/>
                <w:lang w:eastAsia="it-IT"/>
              </w:rPr>
            </w:pPr>
            <w:r w:rsidRPr="00E7137E">
              <w:rPr>
                <w:rFonts w:ascii="Times New Roman" w:eastAsia="Times New Roman" w:hAnsi="Times New Roman" w:cs="Times New Roman"/>
                <w:b/>
                <w:bCs/>
                <w:color w:val="FFFFFF" w:themeColor="background1"/>
                <w:lang w:eastAsia="it-IT"/>
              </w:rPr>
              <w:t>Proposta di nuovi criteri</w:t>
            </w:r>
          </w:p>
        </w:tc>
      </w:tr>
      <w:tr w:rsidR="00E7137E" w:rsidRPr="00E7137E" w14:paraId="5E97C336" w14:textId="77777777" w:rsidTr="00E7137E">
        <w:trPr>
          <w:trHeight w:val="288"/>
        </w:trPr>
        <w:tc>
          <w:tcPr>
            <w:tcW w:w="4180" w:type="dxa"/>
            <w:tcBorders>
              <w:top w:val="single" w:sz="4" w:space="0" w:color="8EA9DB"/>
              <w:left w:val="single" w:sz="4" w:space="0" w:color="8EA9DB"/>
              <w:bottom w:val="single" w:sz="4" w:space="0" w:color="8EA9DB"/>
              <w:right w:val="single" w:sz="4" w:space="0" w:color="8EA9DB"/>
            </w:tcBorders>
            <w:shd w:val="clear" w:color="auto" w:fill="FFFFFF" w:themeFill="background1"/>
            <w:noWrap/>
            <w:hideMark/>
          </w:tcPr>
          <w:p w14:paraId="6F7BCE11"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Età all'esordio ≥ 50 anni</w:t>
            </w:r>
          </w:p>
        </w:tc>
        <w:tc>
          <w:tcPr>
            <w:tcW w:w="3100" w:type="dxa"/>
            <w:tcBorders>
              <w:top w:val="single" w:sz="4" w:space="0" w:color="8EA9DB"/>
              <w:left w:val="single" w:sz="4" w:space="0" w:color="8EA9DB"/>
              <w:bottom w:val="single" w:sz="4" w:space="0" w:color="8EA9DB"/>
              <w:right w:val="single" w:sz="4" w:space="0" w:color="8EA9DB"/>
            </w:tcBorders>
            <w:shd w:val="clear" w:color="auto" w:fill="FFFFFF" w:themeFill="background1"/>
            <w:noWrap/>
            <w:hideMark/>
          </w:tcPr>
          <w:p w14:paraId="7B9D5A22"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Età all'esordio ≥ 50 anni</w:t>
            </w:r>
          </w:p>
        </w:tc>
      </w:tr>
      <w:tr w:rsidR="00E7137E" w:rsidRPr="00E7137E" w14:paraId="0B7CD666" w14:textId="77777777" w:rsidTr="00E7137E">
        <w:trPr>
          <w:trHeight w:val="1152"/>
        </w:trPr>
        <w:tc>
          <w:tcPr>
            <w:tcW w:w="4180" w:type="dxa"/>
            <w:tcBorders>
              <w:top w:val="single" w:sz="4" w:space="0" w:color="8EA9DB"/>
              <w:left w:val="single" w:sz="4" w:space="0" w:color="8EA9DB"/>
              <w:bottom w:val="single" w:sz="4" w:space="0" w:color="8EA9DB"/>
              <w:right w:val="single" w:sz="4" w:space="0" w:color="8EA9DB"/>
            </w:tcBorders>
            <w:shd w:val="clear" w:color="auto" w:fill="FFFFFF" w:themeFill="background1"/>
            <w:hideMark/>
          </w:tcPr>
          <w:p w14:paraId="7F28C801"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Cefalea di nuova insorgenza o nuova localizzazione, interessamento della vista, perdita della vista, PMR, sintomi sistemici, claudicatio masticatoria</w:t>
            </w:r>
          </w:p>
        </w:tc>
        <w:tc>
          <w:tcPr>
            <w:tcW w:w="3100" w:type="dxa"/>
            <w:tcBorders>
              <w:top w:val="single" w:sz="4" w:space="0" w:color="8EA9DB"/>
              <w:left w:val="single" w:sz="4" w:space="0" w:color="8EA9DB"/>
              <w:bottom w:val="single" w:sz="4" w:space="0" w:color="8EA9DB"/>
              <w:right w:val="single" w:sz="4" w:space="0" w:color="8EA9DB"/>
            </w:tcBorders>
            <w:shd w:val="clear" w:color="auto" w:fill="FFFFFF" w:themeFill="background1"/>
            <w:hideMark/>
          </w:tcPr>
          <w:p w14:paraId="5A8DC2F3"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Cefalea di nuova insorgenza o nuova localizzazione, difficoltà nella masticazione e/o claudicatio masticatoria</w:t>
            </w:r>
          </w:p>
        </w:tc>
      </w:tr>
      <w:tr w:rsidR="00E7137E" w:rsidRPr="00E7137E" w14:paraId="4B73E3E2" w14:textId="77777777" w:rsidTr="00E7137E">
        <w:trPr>
          <w:trHeight w:val="1152"/>
        </w:trPr>
        <w:tc>
          <w:tcPr>
            <w:tcW w:w="4180" w:type="dxa"/>
            <w:tcBorders>
              <w:top w:val="single" w:sz="4" w:space="0" w:color="8EA9DB"/>
              <w:left w:val="single" w:sz="4" w:space="0" w:color="8EA9DB"/>
              <w:bottom w:val="single" w:sz="4" w:space="0" w:color="8EA9DB"/>
              <w:right w:val="single" w:sz="4" w:space="0" w:color="8EA9DB"/>
            </w:tcBorders>
            <w:shd w:val="clear" w:color="auto" w:fill="FFFFFF" w:themeFill="background1"/>
            <w:hideMark/>
          </w:tcPr>
          <w:p w14:paraId="4F39ACAB"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Rigidità alla palpazione o ridotta pulsatilità dell'arteria temporale</w:t>
            </w:r>
          </w:p>
        </w:tc>
        <w:tc>
          <w:tcPr>
            <w:tcW w:w="3100" w:type="dxa"/>
            <w:tcBorders>
              <w:top w:val="single" w:sz="4" w:space="0" w:color="8EA9DB"/>
              <w:left w:val="single" w:sz="4" w:space="0" w:color="8EA9DB"/>
              <w:bottom w:val="single" w:sz="4" w:space="0" w:color="8EA9DB"/>
              <w:right w:val="single" w:sz="4" w:space="0" w:color="8EA9DB"/>
            </w:tcBorders>
            <w:shd w:val="clear" w:color="auto" w:fill="FFFFFF" w:themeFill="background1"/>
            <w:hideMark/>
          </w:tcPr>
          <w:p w14:paraId="72A1FD00"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Rigidità alla palpazione o ridotta pulsatilità dell'arteria temporale e/o di arterie extracraniche</w:t>
            </w:r>
          </w:p>
        </w:tc>
      </w:tr>
      <w:tr w:rsidR="00E7137E" w:rsidRPr="00E7137E" w14:paraId="19532B39" w14:textId="77777777" w:rsidTr="00E7137E">
        <w:trPr>
          <w:trHeight w:val="288"/>
        </w:trPr>
        <w:tc>
          <w:tcPr>
            <w:tcW w:w="4180" w:type="dxa"/>
            <w:tcBorders>
              <w:top w:val="single" w:sz="4" w:space="0" w:color="8EA9DB"/>
              <w:left w:val="single" w:sz="4" w:space="0" w:color="8EA9DB"/>
              <w:bottom w:val="single" w:sz="4" w:space="0" w:color="8EA9DB"/>
              <w:right w:val="single" w:sz="4" w:space="0" w:color="8EA9DB"/>
            </w:tcBorders>
            <w:shd w:val="clear" w:color="auto" w:fill="FFFFFF" w:themeFill="background1"/>
            <w:noWrap/>
            <w:hideMark/>
          </w:tcPr>
          <w:p w14:paraId="37FA2ABF"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VES ≥ 50 mm/h</w:t>
            </w:r>
          </w:p>
        </w:tc>
        <w:tc>
          <w:tcPr>
            <w:tcW w:w="3100" w:type="dxa"/>
            <w:tcBorders>
              <w:top w:val="single" w:sz="4" w:space="0" w:color="8EA9DB"/>
              <w:left w:val="single" w:sz="4" w:space="0" w:color="8EA9DB"/>
              <w:bottom w:val="single" w:sz="4" w:space="0" w:color="8EA9DB"/>
              <w:right w:val="single" w:sz="4" w:space="0" w:color="8EA9DB"/>
            </w:tcBorders>
            <w:shd w:val="clear" w:color="auto" w:fill="FFFFFF" w:themeFill="background1"/>
            <w:noWrap/>
            <w:hideMark/>
          </w:tcPr>
          <w:p w14:paraId="1346AC78"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VES ≥ 50 mm/h e/o PCR ≥ 10 mg/l</w:t>
            </w:r>
          </w:p>
        </w:tc>
      </w:tr>
      <w:tr w:rsidR="00E7137E" w:rsidRPr="00E7137E" w14:paraId="2CE1C35C" w14:textId="77777777" w:rsidTr="00E7137E">
        <w:trPr>
          <w:trHeight w:val="864"/>
        </w:trPr>
        <w:tc>
          <w:tcPr>
            <w:tcW w:w="4180" w:type="dxa"/>
            <w:tcBorders>
              <w:top w:val="single" w:sz="4" w:space="0" w:color="8EA9DB"/>
              <w:left w:val="single" w:sz="4" w:space="0" w:color="8EA9DB"/>
              <w:bottom w:val="single" w:sz="4" w:space="0" w:color="8EA9DB"/>
              <w:right w:val="single" w:sz="4" w:space="0" w:color="8EA9DB"/>
            </w:tcBorders>
            <w:shd w:val="clear" w:color="auto" w:fill="FFFFFF" w:themeFill="background1"/>
            <w:noWrap/>
            <w:hideMark/>
          </w:tcPr>
          <w:p w14:paraId="26ADE2F4"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Biopsia dell'arteria temporale positiva</w:t>
            </w:r>
          </w:p>
        </w:tc>
        <w:tc>
          <w:tcPr>
            <w:tcW w:w="3100" w:type="dxa"/>
            <w:tcBorders>
              <w:top w:val="single" w:sz="4" w:space="0" w:color="8EA9DB"/>
              <w:left w:val="single" w:sz="4" w:space="0" w:color="8EA9DB"/>
              <w:bottom w:val="single" w:sz="4" w:space="0" w:color="8EA9DB"/>
              <w:right w:val="single" w:sz="4" w:space="0" w:color="8EA9DB"/>
            </w:tcBorders>
            <w:shd w:val="clear" w:color="auto" w:fill="FFFFFF" w:themeFill="background1"/>
            <w:hideMark/>
          </w:tcPr>
          <w:p w14:paraId="77E87BC9" w14:textId="77777777" w:rsidR="00E7137E" w:rsidRPr="00E7137E" w:rsidRDefault="00E7137E" w:rsidP="00E7137E">
            <w:pPr>
              <w:spacing w:after="0" w:line="240" w:lineRule="auto"/>
              <w:rPr>
                <w:rFonts w:ascii="Times New Roman" w:eastAsia="Times New Roman" w:hAnsi="Times New Roman" w:cs="Times New Roman"/>
                <w:color w:val="000000"/>
                <w:lang w:eastAsia="it-IT"/>
              </w:rPr>
            </w:pPr>
            <w:r w:rsidRPr="00E7137E">
              <w:rPr>
                <w:rFonts w:ascii="Times New Roman" w:eastAsia="Times New Roman" w:hAnsi="Times New Roman" w:cs="Times New Roman"/>
                <w:color w:val="000000"/>
                <w:lang w:eastAsia="it-IT"/>
              </w:rPr>
              <w:t>Biopsia dell'arteria temporale positiva e/o reperti diagnostici con ecografia, RM e/o PET</w:t>
            </w:r>
          </w:p>
        </w:tc>
      </w:tr>
    </w:tbl>
    <w:p w14:paraId="75D88CBA" w14:textId="77777777" w:rsidR="002E566F" w:rsidRDefault="002E566F" w:rsidP="009464C3">
      <w:pPr>
        <w:pStyle w:val="Paragrafoelenco"/>
        <w:spacing w:line="360" w:lineRule="auto"/>
        <w:ind w:left="0"/>
        <w:rPr>
          <w:rFonts w:ascii="Times New Roman" w:hAnsi="Times New Roman"/>
        </w:rPr>
      </w:pPr>
    </w:p>
    <w:p w14:paraId="0F9BBE66" w14:textId="77777777" w:rsidR="001A08BD" w:rsidRPr="00580896" w:rsidRDefault="001A08BD" w:rsidP="00C25BDF">
      <w:pPr>
        <w:pStyle w:val="Paragrafoelenco"/>
        <w:spacing w:line="480" w:lineRule="auto"/>
        <w:ind w:left="0"/>
        <w:rPr>
          <w:rFonts w:ascii="Times New Roman" w:hAnsi="Times New Roman"/>
          <w:sz w:val="24"/>
          <w:szCs w:val="24"/>
        </w:rPr>
      </w:pPr>
      <w:r w:rsidRPr="00580896">
        <w:rPr>
          <w:rFonts w:ascii="Times New Roman" w:hAnsi="Times New Roman"/>
          <w:sz w:val="24"/>
          <w:szCs w:val="24"/>
        </w:rPr>
        <w:t xml:space="preserve">Questi criteri ad oggi rimangono basati su opinioni e non sono ancora validati; non dovrebbero quindi essere utilizzati nella pratica clinica o in studi clinici. </w:t>
      </w:r>
    </w:p>
    <w:p w14:paraId="64E40839" w14:textId="77777777" w:rsidR="001A08BD" w:rsidRPr="00580896" w:rsidRDefault="001A08BD" w:rsidP="00C25BDF">
      <w:pPr>
        <w:pStyle w:val="Paragrafoelenco"/>
        <w:spacing w:line="480" w:lineRule="auto"/>
        <w:ind w:left="0"/>
        <w:rPr>
          <w:rFonts w:ascii="Times New Roman" w:hAnsi="Times New Roman"/>
          <w:sz w:val="24"/>
          <w:szCs w:val="24"/>
        </w:rPr>
      </w:pPr>
      <w:r w:rsidRPr="00580896">
        <w:rPr>
          <w:rFonts w:ascii="Times New Roman" w:hAnsi="Times New Roman"/>
          <w:sz w:val="24"/>
          <w:szCs w:val="24"/>
        </w:rPr>
        <w:t xml:space="preserve">Una proposta di aggiornamento dei criteri dell’ACR del 1990, era stata già avanzata anche da Dejaco et al in una pubblicazione del 2017. La loro proposta aveva come obiettivo di superare il bias che gravava su questa prima versione di criteri, ovvero che, </w:t>
      </w:r>
      <w:r w:rsidR="006146E4" w:rsidRPr="00580896">
        <w:rPr>
          <w:rFonts w:ascii="Times New Roman" w:hAnsi="Times New Roman"/>
          <w:sz w:val="24"/>
          <w:szCs w:val="24"/>
        </w:rPr>
        <w:t>poichè</w:t>
      </w:r>
      <w:r w:rsidRPr="00580896">
        <w:rPr>
          <w:rFonts w:ascii="Times New Roman" w:hAnsi="Times New Roman"/>
          <w:sz w:val="24"/>
          <w:szCs w:val="24"/>
        </w:rPr>
        <w:t xml:space="preserve"> al momento della stesura non erano ancora disponibili le moderne tecniche di imaging, i pazienti su cui si basava lo studio erano quasi esclusivamente affetti dalla forma craniale dell’AGC </w:t>
      </w:r>
      <w:r w:rsidR="00C83AA8" w:rsidRPr="00580896">
        <w:rPr>
          <w:rFonts w:ascii="Times New Roman" w:hAnsi="Times New Roman"/>
          <w:sz w:val="24"/>
          <w:szCs w:val="24"/>
        </w:rPr>
        <w:fldChar w:fldCharType="begin" w:fldLock="1"/>
      </w:r>
      <w:r w:rsidR="00F66ECC" w:rsidRPr="00580896">
        <w:rPr>
          <w:rFonts w:ascii="Times New Roman" w:hAnsi="Times New Roman"/>
          <w:sz w:val="24"/>
          <w:szCs w:val="24"/>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C83AA8" w:rsidRPr="00580896">
        <w:rPr>
          <w:rFonts w:ascii="Times New Roman" w:hAnsi="Times New Roman"/>
          <w:sz w:val="24"/>
          <w:szCs w:val="24"/>
        </w:rPr>
        <w:fldChar w:fldCharType="separate"/>
      </w:r>
      <w:r w:rsidR="00C41B3B" w:rsidRPr="00580896">
        <w:rPr>
          <w:rFonts w:ascii="Times New Roman" w:hAnsi="Times New Roman"/>
          <w:noProof/>
          <w:sz w:val="24"/>
          <w:szCs w:val="24"/>
          <w:vertAlign w:val="superscript"/>
        </w:rPr>
        <w:t>11</w:t>
      </w:r>
      <w:r w:rsidR="00C83AA8" w:rsidRPr="00580896">
        <w:rPr>
          <w:rFonts w:ascii="Times New Roman" w:hAnsi="Times New Roman"/>
          <w:sz w:val="24"/>
          <w:szCs w:val="24"/>
        </w:rPr>
        <w:fldChar w:fldCharType="end"/>
      </w:r>
      <w:r w:rsidRPr="00580896">
        <w:rPr>
          <w:rFonts w:ascii="Times New Roman" w:hAnsi="Times New Roman"/>
          <w:sz w:val="24"/>
          <w:szCs w:val="24"/>
        </w:rPr>
        <w:t>.</w:t>
      </w:r>
    </w:p>
    <w:p w14:paraId="1B1C6340" w14:textId="77777777" w:rsidR="001A08BD" w:rsidRPr="00580896" w:rsidRDefault="001A08BD" w:rsidP="00C25BDF">
      <w:pPr>
        <w:pStyle w:val="Paragrafoelenco"/>
        <w:spacing w:line="480" w:lineRule="auto"/>
        <w:ind w:left="0"/>
        <w:rPr>
          <w:rFonts w:ascii="Times New Roman" w:hAnsi="Times New Roman"/>
          <w:sz w:val="24"/>
          <w:szCs w:val="24"/>
        </w:rPr>
      </w:pPr>
      <w:r w:rsidRPr="00580896">
        <w:rPr>
          <w:rFonts w:ascii="Times New Roman" w:hAnsi="Times New Roman"/>
          <w:sz w:val="24"/>
          <w:szCs w:val="24"/>
        </w:rPr>
        <w:t>La loro proposta</w:t>
      </w:r>
      <w:r w:rsidR="006146E4" w:rsidRPr="00580896">
        <w:rPr>
          <w:rFonts w:ascii="Times New Roman" w:hAnsi="Times New Roman"/>
          <w:sz w:val="24"/>
          <w:szCs w:val="24"/>
        </w:rPr>
        <w:t xml:space="preserve"> è riportata</w:t>
      </w:r>
      <w:r w:rsidRPr="00580896">
        <w:rPr>
          <w:rFonts w:ascii="Times New Roman" w:hAnsi="Times New Roman"/>
          <w:sz w:val="24"/>
          <w:szCs w:val="24"/>
        </w:rPr>
        <w:t xml:space="preserve"> in Tabella 3.</w:t>
      </w:r>
    </w:p>
    <w:p w14:paraId="738B1BCF" w14:textId="3AB6BB73" w:rsidR="001A08BD" w:rsidRPr="00580896" w:rsidRDefault="00580896" w:rsidP="00580896">
      <w:pPr>
        <w:rPr>
          <w:rFonts w:ascii="Times New Roman" w:eastAsia="Calibri" w:hAnsi="Times New Roman" w:cs="Times New Roman"/>
        </w:rPr>
      </w:pPr>
      <w:r>
        <w:rPr>
          <w:rFonts w:ascii="Times New Roman" w:hAnsi="Times New Roman"/>
        </w:rPr>
        <w:br w:type="page"/>
      </w:r>
    </w:p>
    <w:p w14:paraId="615B57AA" w14:textId="77777777" w:rsidR="00BF7227" w:rsidRPr="00B2493E" w:rsidRDefault="001A08BD" w:rsidP="001C0E1A">
      <w:pPr>
        <w:pStyle w:val="Paragrafoelenco"/>
        <w:spacing w:line="240" w:lineRule="auto"/>
        <w:ind w:left="0"/>
        <w:rPr>
          <w:rFonts w:ascii="Times New Roman" w:hAnsi="Times New Roman"/>
        </w:rPr>
      </w:pPr>
      <w:r w:rsidRPr="00B2493E">
        <w:rPr>
          <w:rFonts w:ascii="Times New Roman" w:hAnsi="Times New Roman"/>
          <w:b/>
        </w:rPr>
        <w:lastRenderedPageBreak/>
        <w:t>Tabella 3</w:t>
      </w:r>
      <w:r w:rsidRPr="00B2493E">
        <w:rPr>
          <w:rFonts w:ascii="Times New Roman" w:hAnsi="Times New Roman"/>
        </w:rPr>
        <w:t>. Proposta di espansione dei criteri dell’ACR del 1990 per la classificazione dell’AGC</w:t>
      </w:r>
      <w:r w:rsidR="00C83AA8" w:rsidRPr="00B2493E">
        <w:rPr>
          <w:rFonts w:ascii="Times New Roman" w:hAnsi="Times New Roman"/>
        </w:rPr>
        <w:fldChar w:fldCharType="begin" w:fldLock="1"/>
      </w:r>
      <w:r w:rsidR="00F66ECC" w:rsidRPr="00B2493E">
        <w:rPr>
          <w:rFonts w:ascii="Times New Roman" w:hAnsi="Times New Roman"/>
        </w:rPr>
        <w:instrText>ADDIN CSL_CITATION {"citationItems":[{"id":"ITEM-1","itemData":{"DOI":"10.1093/rheumatology/kew273","author":[{"dropping-particle":"","family":"Dejaco","given":"Christian","non-dropping-particle":"","parse-names":false,"suffix":""},{"dropping-particle":"","family":"Duftner","given":"Christina","non-dropping-particle":"","parse-names":false,"suffix":""},{"dropping-particle":"","family":"Buttgereit","given":"Frank","non-dropping-particle":"","parse-names":false,"suffix":""},{"dropping-particle":"","family":"Matteson","given":"Eric L","non-dropping-particle":"","parse-names":false,"suffix":""},{"dropping-particle":"","family":"Dasgupta","given":"Bhaskar","non-dropping-particle":"","parse-names":false,"suffix":""}],"id":"ITEM-1","issue":"July 2016","issued":{"date-parts":[["2017"]]},"page":"506-515","title":"Review The spectrum of giant cell arteritis and polymyalgia rheumatica : revisiting the concept of the disease","type":"article-journal"},"uris":["http://www.mendeley.com/documents/?uuid=3053ba5f-a762-4e7c-80b1-f89704eea37d"]}],"mendeley":{"formattedCitation":"&lt;sup&gt;11&lt;/sup&gt;","plainTextFormattedCitation":"11","previouslyFormattedCitation":"&lt;sup&gt;11&lt;/sup&gt;"},"properties":{"noteIndex":0},"schema":"https://github.com/citation-style-language/schema/raw/master/csl-citation.json"}</w:instrText>
      </w:r>
      <w:r w:rsidR="00C83AA8" w:rsidRPr="00B2493E">
        <w:rPr>
          <w:rFonts w:ascii="Times New Roman" w:hAnsi="Times New Roman"/>
        </w:rPr>
        <w:fldChar w:fldCharType="separate"/>
      </w:r>
      <w:r w:rsidR="00C41B3B" w:rsidRPr="00B2493E">
        <w:rPr>
          <w:rFonts w:ascii="Times New Roman" w:hAnsi="Times New Roman"/>
          <w:noProof/>
          <w:vertAlign w:val="superscript"/>
        </w:rPr>
        <w:t>11</w:t>
      </w:r>
      <w:r w:rsidR="00C83AA8" w:rsidRPr="00B2493E">
        <w:rPr>
          <w:rFonts w:ascii="Times New Roman" w:hAnsi="Times New Roman"/>
        </w:rPr>
        <w:fldChar w:fldCharType="end"/>
      </w:r>
      <w:r w:rsidRPr="00B2493E">
        <w:rPr>
          <w:rFonts w:ascii="Times New Roman" w:hAnsi="Times New Roman"/>
        </w:rPr>
        <w:t>.</w:t>
      </w:r>
      <w:r w:rsidR="00BF7227" w:rsidRPr="00B2493E">
        <w:rPr>
          <w:rFonts w:ascii="Times New Roman" w:hAnsi="Times New Roman"/>
        </w:rPr>
        <w:t xml:space="preserve"> </w:t>
      </w:r>
    </w:p>
    <w:tbl>
      <w:tblPr>
        <w:tblW w:w="7572" w:type="dxa"/>
        <w:tblInd w:w="75" w:type="dxa"/>
        <w:tblCellMar>
          <w:left w:w="70" w:type="dxa"/>
          <w:right w:w="70" w:type="dxa"/>
        </w:tblCellMar>
        <w:tblLook w:val="04A0" w:firstRow="1" w:lastRow="0" w:firstColumn="1" w:lastColumn="0" w:noHBand="0" w:noVBand="1"/>
      </w:tblPr>
      <w:tblGrid>
        <w:gridCol w:w="3904"/>
        <w:gridCol w:w="3668"/>
      </w:tblGrid>
      <w:tr w:rsidR="00F53FFB" w:rsidRPr="00F53FFB" w14:paraId="02F6D345" w14:textId="77777777" w:rsidTr="00F53FFB">
        <w:trPr>
          <w:trHeight w:val="180"/>
        </w:trPr>
        <w:tc>
          <w:tcPr>
            <w:tcW w:w="3904" w:type="dxa"/>
            <w:tcBorders>
              <w:top w:val="single" w:sz="4" w:space="0" w:color="4472C4"/>
              <w:left w:val="single" w:sz="4" w:space="0" w:color="4472C4"/>
              <w:bottom w:val="single" w:sz="8" w:space="0" w:color="4472C4"/>
              <w:right w:val="single" w:sz="4" w:space="0" w:color="4472C4"/>
            </w:tcBorders>
            <w:shd w:val="clear" w:color="auto" w:fill="8DB3E2" w:themeFill="text2" w:themeFillTint="66"/>
            <w:noWrap/>
            <w:vAlign w:val="bottom"/>
            <w:hideMark/>
          </w:tcPr>
          <w:p w14:paraId="083F07C7" w14:textId="77777777" w:rsidR="00F53FFB" w:rsidRPr="00F53FFB" w:rsidRDefault="00F53FFB" w:rsidP="00F53FFB">
            <w:pPr>
              <w:spacing w:after="0" w:line="240" w:lineRule="auto"/>
              <w:rPr>
                <w:rFonts w:ascii="Times New Roman" w:eastAsia="Times New Roman" w:hAnsi="Times New Roman" w:cs="Times New Roman"/>
                <w:b/>
                <w:bCs/>
                <w:color w:val="FFFFFF" w:themeColor="background1"/>
                <w:lang w:eastAsia="it-IT"/>
              </w:rPr>
            </w:pPr>
            <w:r w:rsidRPr="00F53FFB">
              <w:rPr>
                <w:rFonts w:ascii="Times New Roman" w:eastAsia="Times New Roman" w:hAnsi="Times New Roman" w:cs="Times New Roman"/>
                <w:b/>
                <w:bCs/>
                <w:color w:val="FFFFFF" w:themeColor="background1"/>
                <w:lang w:eastAsia="it-IT"/>
              </w:rPr>
              <w:t>Criteri ACR 1990</w:t>
            </w:r>
          </w:p>
        </w:tc>
        <w:tc>
          <w:tcPr>
            <w:tcW w:w="3668" w:type="dxa"/>
            <w:tcBorders>
              <w:top w:val="single" w:sz="4" w:space="0" w:color="4472C4"/>
              <w:left w:val="single" w:sz="4" w:space="0" w:color="4472C4"/>
              <w:bottom w:val="single" w:sz="8" w:space="0" w:color="4472C4"/>
              <w:right w:val="single" w:sz="4" w:space="0" w:color="4472C4"/>
            </w:tcBorders>
            <w:shd w:val="clear" w:color="auto" w:fill="8DB3E2" w:themeFill="text2" w:themeFillTint="66"/>
            <w:noWrap/>
            <w:vAlign w:val="bottom"/>
            <w:hideMark/>
          </w:tcPr>
          <w:p w14:paraId="751A09CC" w14:textId="77777777" w:rsidR="00F53FFB" w:rsidRPr="00F53FFB" w:rsidRDefault="00F53FFB" w:rsidP="00F53FFB">
            <w:pPr>
              <w:spacing w:after="0" w:line="240" w:lineRule="auto"/>
              <w:rPr>
                <w:rFonts w:ascii="Times New Roman" w:eastAsia="Times New Roman" w:hAnsi="Times New Roman" w:cs="Times New Roman"/>
                <w:b/>
                <w:bCs/>
                <w:color w:val="FFFFFF" w:themeColor="background1"/>
                <w:lang w:eastAsia="it-IT"/>
              </w:rPr>
            </w:pPr>
            <w:r w:rsidRPr="00F53FFB">
              <w:rPr>
                <w:rFonts w:ascii="Times New Roman" w:eastAsia="Times New Roman" w:hAnsi="Times New Roman" w:cs="Times New Roman"/>
                <w:b/>
                <w:bCs/>
                <w:color w:val="FFFFFF" w:themeColor="background1"/>
                <w:lang w:eastAsia="it-IT"/>
              </w:rPr>
              <w:t>Espansione suggerita</w:t>
            </w:r>
          </w:p>
        </w:tc>
      </w:tr>
      <w:tr w:rsidR="00F53FFB" w:rsidRPr="00F53FFB" w14:paraId="3053861C" w14:textId="77777777" w:rsidTr="00F53FFB">
        <w:trPr>
          <w:trHeight w:val="180"/>
        </w:trPr>
        <w:tc>
          <w:tcPr>
            <w:tcW w:w="3904"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5213B0CB"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Età all'esordio≥50 anni</w:t>
            </w:r>
          </w:p>
        </w:tc>
        <w:tc>
          <w:tcPr>
            <w:tcW w:w="3668"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58723476"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Età all'esordio ≥50 anni</w:t>
            </w:r>
          </w:p>
        </w:tc>
      </w:tr>
      <w:tr w:rsidR="00F53FFB" w:rsidRPr="00F53FFB" w14:paraId="554A138E" w14:textId="77777777" w:rsidTr="00F53FFB">
        <w:trPr>
          <w:trHeight w:val="1440"/>
        </w:trPr>
        <w:tc>
          <w:tcPr>
            <w:tcW w:w="3904" w:type="dxa"/>
            <w:tcBorders>
              <w:top w:val="single" w:sz="4" w:space="0" w:color="4472C4"/>
              <w:left w:val="single" w:sz="4" w:space="0" w:color="4472C4"/>
              <w:bottom w:val="single" w:sz="4" w:space="0" w:color="4472C4"/>
              <w:right w:val="single" w:sz="4" w:space="0" w:color="4472C4"/>
            </w:tcBorders>
            <w:shd w:val="clear" w:color="auto" w:fill="FFFFFF" w:themeFill="background1"/>
            <w:hideMark/>
          </w:tcPr>
          <w:p w14:paraId="0F4CA196"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Mal di testa di nuova insorgenza per tipo o localizzazione del dolore</w:t>
            </w:r>
          </w:p>
        </w:tc>
        <w:tc>
          <w:tcPr>
            <w:tcW w:w="3668" w:type="dxa"/>
            <w:tcBorders>
              <w:top w:val="single" w:sz="4" w:space="0" w:color="4472C4"/>
              <w:left w:val="single" w:sz="4" w:space="0" w:color="4472C4"/>
              <w:bottom w:val="single" w:sz="4" w:space="0" w:color="4472C4"/>
              <w:right w:val="single" w:sz="4" w:space="0" w:color="4472C4"/>
            </w:tcBorders>
            <w:shd w:val="clear" w:color="auto" w:fill="FFFFFF" w:themeFill="background1"/>
            <w:hideMark/>
          </w:tcPr>
          <w:p w14:paraId="09DFC0ED" w14:textId="77777777" w:rsid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Uno fra:</w:t>
            </w:r>
          </w:p>
          <w:p w14:paraId="67F8F7DF"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mal di testa di nuova insorgenza, manifestazioni oculari o perdita della vista, PMR, sintomi generali, claudicatio della mandibola o della lingua</w:t>
            </w:r>
          </w:p>
        </w:tc>
      </w:tr>
      <w:tr w:rsidR="00F53FFB" w:rsidRPr="00F53FFB" w14:paraId="4C95F02F" w14:textId="77777777" w:rsidTr="00F53FFB">
        <w:trPr>
          <w:trHeight w:val="540"/>
        </w:trPr>
        <w:tc>
          <w:tcPr>
            <w:tcW w:w="3904" w:type="dxa"/>
            <w:tcBorders>
              <w:top w:val="single" w:sz="4" w:space="0" w:color="4472C4"/>
              <w:left w:val="single" w:sz="4" w:space="0" w:color="4472C4"/>
              <w:bottom w:val="single" w:sz="4" w:space="0" w:color="4472C4"/>
              <w:right w:val="single" w:sz="4" w:space="0" w:color="4472C4"/>
            </w:tcBorders>
            <w:shd w:val="clear" w:color="auto" w:fill="FFFFFF" w:themeFill="background1"/>
            <w:hideMark/>
          </w:tcPr>
          <w:p w14:paraId="15DD1DDB"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Anormalità dell'arteria temporale (riduzione della pulsatilità)</w:t>
            </w:r>
          </w:p>
        </w:tc>
        <w:tc>
          <w:tcPr>
            <w:tcW w:w="3668" w:type="dxa"/>
            <w:tcBorders>
              <w:top w:val="single" w:sz="4" w:space="0" w:color="4472C4"/>
              <w:left w:val="single" w:sz="4" w:space="0" w:color="4472C4"/>
              <w:bottom w:val="single" w:sz="4" w:space="0" w:color="4472C4"/>
              <w:right w:val="single" w:sz="4" w:space="0" w:color="4472C4"/>
            </w:tcBorders>
            <w:shd w:val="clear" w:color="auto" w:fill="FFFFFF" w:themeFill="background1"/>
            <w:hideMark/>
          </w:tcPr>
          <w:p w14:paraId="5ECF2A48"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 xml:space="preserve">Anormalità dell'arteria temporale e/o di arterie extra-craniche </w:t>
            </w:r>
          </w:p>
        </w:tc>
      </w:tr>
      <w:tr w:rsidR="00F53FFB" w:rsidRPr="00F53FFB" w14:paraId="36818D28" w14:textId="77777777" w:rsidTr="00F53FFB">
        <w:trPr>
          <w:trHeight w:val="360"/>
        </w:trPr>
        <w:tc>
          <w:tcPr>
            <w:tcW w:w="3904"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2F2C27B9"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VES ≥ 50 mm/h</w:t>
            </w:r>
          </w:p>
        </w:tc>
        <w:tc>
          <w:tcPr>
            <w:tcW w:w="3668" w:type="dxa"/>
            <w:tcBorders>
              <w:top w:val="single" w:sz="4" w:space="0" w:color="4472C4"/>
              <w:left w:val="single" w:sz="4" w:space="0" w:color="4472C4"/>
              <w:bottom w:val="single" w:sz="4" w:space="0" w:color="4472C4"/>
              <w:right w:val="single" w:sz="4" w:space="0" w:color="4472C4"/>
            </w:tcBorders>
            <w:shd w:val="clear" w:color="auto" w:fill="FFFFFF" w:themeFill="background1"/>
            <w:hideMark/>
          </w:tcPr>
          <w:p w14:paraId="4BFCA638"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VES ≥ 50 mm/h o PCR ≥ 10mg/l</w:t>
            </w:r>
          </w:p>
        </w:tc>
      </w:tr>
      <w:tr w:rsidR="00F53FFB" w:rsidRPr="00F53FFB" w14:paraId="05D6C328" w14:textId="77777777" w:rsidTr="00F53FFB">
        <w:trPr>
          <w:trHeight w:val="720"/>
        </w:trPr>
        <w:tc>
          <w:tcPr>
            <w:tcW w:w="3904"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23111711"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Biopsia positiva</w:t>
            </w:r>
          </w:p>
        </w:tc>
        <w:tc>
          <w:tcPr>
            <w:tcW w:w="3668" w:type="dxa"/>
            <w:tcBorders>
              <w:top w:val="single" w:sz="4" w:space="0" w:color="4472C4"/>
              <w:left w:val="single" w:sz="4" w:space="0" w:color="4472C4"/>
              <w:bottom w:val="single" w:sz="4" w:space="0" w:color="4472C4"/>
              <w:right w:val="single" w:sz="4" w:space="0" w:color="4472C4"/>
            </w:tcBorders>
            <w:shd w:val="clear" w:color="auto" w:fill="FFFFFF" w:themeFill="background1"/>
            <w:hideMark/>
          </w:tcPr>
          <w:p w14:paraId="61AEB15A" w14:textId="77777777" w:rsidR="00F53FFB" w:rsidRPr="00F53FFB" w:rsidRDefault="00F53FFB" w:rsidP="00F53FFB">
            <w:pPr>
              <w:spacing w:after="0" w:line="240" w:lineRule="auto"/>
              <w:rPr>
                <w:rFonts w:ascii="Times New Roman" w:eastAsia="Times New Roman" w:hAnsi="Times New Roman" w:cs="Times New Roman"/>
                <w:color w:val="000000"/>
                <w:lang w:eastAsia="it-IT"/>
              </w:rPr>
            </w:pPr>
            <w:r w:rsidRPr="00F53FFB">
              <w:rPr>
                <w:rFonts w:ascii="Times New Roman" w:eastAsia="Times New Roman" w:hAnsi="Times New Roman" w:cs="Times New Roman"/>
                <w:color w:val="000000"/>
                <w:lang w:eastAsia="it-IT"/>
              </w:rPr>
              <w:t>Biopsia positiva o positività alle tecniche di imaging (ECO, RM, PET)</w:t>
            </w:r>
          </w:p>
        </w:tc>
      </w:tr>
    </w:tbl>
    <w:p w14:paraId="1B0999DE" w14:textId="77777777" w:rsidR="001A08BD" w:rsidRPr="00F555AD" w:rsidRDefault="001A08BD" w:rsidP="009464C3">
      <w:pPr>
        <w:pStyle w:val="Paragrafoelenco"/>
        <w:spacing w:line="360" w:lineRule="auto"/>
        <w:ind w:left="0"/>
        <w:rPr>
          <w:rFonts w:ascii="Times New Roman" w:hAnsi="Times New Roman"/>
        </w:rPr>
      </w:pPr>
    </w:p>
    <w:p w14:paraId="5A60A64C" w14:textId="77777777" w:rsidR="001A08BD" w:rsidRPr="00580896" w:rsidRDefault="001A08BD" w:rsidP="00C25BDF">
      <w:pPr>
        <w:tabs>
          <w:tab w:val="left" w:pos="2169"/>
        </w:tabs>
        <w:spacing w:line="480" w:lineRule="auto"/>
        <w:rPr>
          <w:rFonts w:ascii="Times New Roman" w:hAnsi="Times New Roman" w:cs="Times New Roman"/>
          <w:sz w:val="24"/>
          <w:szCs w:val="24"/>
        </w:rPr>
      </w:pPr>
      <w:r w:rsidRPr="00580896">
        <w:rPr>
          <w:rFonts w:ascii="Times New Roman" w:hAnsi="Times New Roman" w:cs="Times New Roman"/>
          <w:sz w:val="24"/>
          <w:szCs w:val="24"/>
        </w:rPr>
        <w:t xml:space="preserve">Importantissimo fare diagnosi differenziale con altre otticopatie, anche di natura reumatologica, che possono portare a perdita del visus, soprattutto nei pazienti anziani. </w:t>
      </w:r>
    </w:p>
    <w:p w14:paraId="48D8AAD8"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L’esame del fondo dell’occhio</w:t>
      </w:r>
      <w:r w:rsidRPr="00580896">
        <w:rPr>
          <w:rFonts w:ascii="Times New Roman" w:hAnsi="Times New Roman" w:cs="Times New Roman"/>
          <w:b/>
          <w:sz w:val="24"/>
          <w:szCs w:val="24"/>
        </w:rPr>
        <w:t xml:space="preserve">, </w:t>
      </w:r>
      <w:r w:rsidRPr="00580896">
        <w:rPr>
          <w:rFonts w:ascii="Times New Roman" w:hAnsi="Times New Roman" w:cs="Times New Roman"/>
          <w:sz w:val="24"/>
          <w:szCs w:val="24"/>
        </w:rPr>
        <w:t>simultaneo o dopo perdita del visus, rileva un disco pallido, edematoso con emorragie puntate in sede peri-papillare.</w:t>
      </w:r>
    </w:p>
    <w:p w14:paraId="3B1EF643" w14:textId="77777777" w:rsidR="001A08BD" w:rsidRPr="00580896" w:rsidRDefault="001A08BD" w:rsidP="00C25BDF">
      <w:pPr>
        <w:spacing w:line="480" w:lineRule="auto"/>
        <w:rPr>
          <w:rFonts w:ascii="Times New Roman" w:hAnsi="Times New Roman" w:cs="Times New Roman"/>
          <w:b/>
          <w:sz w:val="24"/>
          <w:szCs w:val="24"/>
        </w:rPr>
      </w:pPr>
      <w:r w:rsidRPr="00580896">
        <w:rPr>
          <w:rFonts w:ascii="Times New Roman" w:hAnsi="Times New Roman" w:cs="Times New Roman"/>
          <w:sz w:val="24"/>
          <w:szCs w:val="24"/>
        </w:rPr>
        <w:t>La diagnosi di AGC deve essere il più precoce possibile per evitare l’insorgenza delle complicazioni.</w:t>
      </w:r>
    </w:p>
    <w:p w14:paraId="2DDA415B" w14:textId="77777777" w:rsidR="001A08BD" w:rsidRPr="00580896" w:rsidRDefault="001A08BD" w:rsidP="00C25BDF">
      <w:pPr>
        <w:pStyle w:val="Paragrafoelenco"/>
        <w:numPr>
          <w:ilvl w:val="0"/>
          <w:numId w:val="24"/>
        </w:numPr>
        <w:spacing w:after="160" w:line="480" w:lineRule="auto"/>
        <w:rPr>
          <w:rFonts w:ascii="Times New Roman" w:hAnsi="Times New Roman"/>
          <w:b/>
          <w:sz w:val="24"/>
          <w:szCs w:val="24"/>
        </w:rPr>
      </w:pPr>
      <w:r w:rsidRPr="00580896">
        <w:rPr>
          <w:rFonts w:ascii="Times New Roman" w:hAnsi="Times New Roman"/>
          <w:b/>
          <w:sz w:val="24"/>
          <w:szCs w:val="24"/>
        </w:rPr>
        <w:t xml:space="preserve">Esami di laboratorio </w:t>
      </w:r>
    </w:p>
    <w:p w14:paraId="290A11CF"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Ad oggi non si sono trovati marcatori laboratoristici o anticorpali di malattia e gli esami di laboratorio danno scarso aiuto nel validare la diagnosi di AGC</w:t>
      </w:r>
      <w:r w:rsidR="000A7A3E" w:rsidRPr="00580896">
        <w:rPr>
          <w:rFonts w:ascii="Times New Roman" w:hAnsi="Times New Roman" w:cs="Times New Roman"/>
          <w:sz w:val="24"/>
          <w:szCs w:val="24"/>
        </w:rPr>
        <w:fldChar w:fldCharType="begin" w:fldLock="1"/>
      </w:r>
      <w:r w:rsidR="000A7A3E"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0259EC33"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Tipici sono gli incrementi di VES, PCR e fibrinogeno. Tuttavia, la VES, nonostante sia tra i criteri diagnostici, può risultare negativa in un 10%-20% di casi e, raramente, anche la PCR può essere negativa</w:t>
      </w:r>
      <w:r w:rsidR="000A7A3E" w:rsidRPr="00580896">
        <w:rPr>
          <w:rFonts w:ascii="Times New Roman" w:hAnsi="Times New Roman" w:cs="Times New Roman"/>
          <w:sz w:val="24"/>
          <w:szCs w:val="24"/>
        </w:rPr>
        <w:fldChar w:fldCharType="begin" w:fldLock="1"/>
      </w:r>
      <w:r w:rsidR="000A7A3E"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4EC70444"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lastRenderedPageBreak/>
        <w:t>Gli anticorpi anti-fosfolipidi</w:t>
      </w:r>
      <w:r w:rsidRPr="00580896">
        <w:rPr>
          <w:rFonts w:ascii="Times New Roman" w:hAnsi="Times New Roman" w:cs="Times New Roman"/>
          <w:b/>
          <w:sz w:val="24"/>
          <w:szCs w:val="24"/>
        </w:rPr>
        <w:t xml:space="preserve"> </w:t>
      </w:r>
      <w:r w:rsidRPr="00580896">
        <w:rPr>
          <w:rFonts w:ascii="Times New Roman" w:hAnsi="Times New Roman" w:cs="Times New Roman"/>
          <w:sz w:val="24"/>
          <w:szCs w:val="24"/>
        </w:rPr>
        <w:t>sono stati trovati in un sostanziale numero di pazienti, ma la loro specificità è bassa</w:t>
      </w:r>
      <w:r w:rsidR="000A7A3E" w:rsidRPr="00580896">
        <w:rPr>
          <w:rFonts w:ascii="Times New Roman" w:hAnsi="Times New Roman" w:cs="Times New Roman"/>
          <w:sz w:val="24"/>
          <w:szCs w:val="24"/>
        </w:rPr>
        <w:fldChar w:fldCharType="begin" w:fldLock="1"/>
      </w:r>
      <w:r w:rsidR="000A7A3E"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43FB9732"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Gli anticorpi anti-catena pesante della ferritina sono riscontrati nel 92% dei pazienti affetti da AGC non trattati e scendono al 13% tra i soggetti in remissione; questi anticorpi sono riscontrarti anche nel 29% dei soggetti affetti da lupus eritematoso sistemico (LES) e solo nel 3% dei soggetti affetti da artrite reumatoide (AR). Con ulteriori approfondimenti questi anticorpi potrebbero diventare un marker diagnostico di AGC</w:t>
      </w:r>
      <w:r w:rsidR="00C83AA8" w:rsidRPr="00580896">
        <w:rPr>
          <w:rFonts w:ascii="Times New Roman" w:hAnsi="Times New Roman" w:cs="Times New Roman"/>
          <w:sz w:val="24"/>
          <w:szCs w:val="24"/>
        </w:rPr>
        <w:fldChar w:fldCharType="begin" w:fldLock="1"/>
      </w:r>
      <w:r w:rsidR="00F66ECC" w:rsidRPr="00580896">
        <w:rPr>
          <w:rFonts w:ascii="Times New Roman" w:hAnsi="Times New Roman" w:cs="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C83AA8" w:rsidRPr="00580896">
        <w:rPr>
          <w:rFonts w:ascii="Times New Roman" w:hAnsi="Times New Roman" w:cs="Times New Roman"/>
          <w:sz w:val="24"/>
          <w:szCs w:val="24"/>
        </w:rPr>
        <w:fldChar w:fldCharType="separate"/>
      </w:r>
      <w:r w:rsidR="00C41B3B" w:rsidRPr="00580896">
        <w:rPr>
          <w:rFonts w:ascii="Times New Roman" w:hAnsi="Times New Roman" w:cs="Times New Roman"/>
          <w:noProof/>
          <w:sz w:val="24"/>
          <w:szCs w:val="24"/>
          <w:vertAlign w:val="superscript"/>
        </w:rPr>
        <w:t>9</w:t>
      </w:r>
      <w:r w:rsidR="00C83AA8" w:rsidRPr="00580896">
        <w:rPr>
          <w:rFonts w:ascii="Times New Roman" w:hAnsi="Times New Roman" w:cs="Times New Roman"/>
          <w:sz w:val="24"/>
          <w:szCs w:val="24"/>
        </w:rPr>
        <w:fldChar w:fldCharType="end"/>
      </w:r>
      <w:r w:rsidR="00077D43" w:rsidRPr="00580896">
        <w:rPr>
          <w:rFonts w:ascii="Times New Roman" w:hAnsi="Times New Roman" w:cs="Times New Roman"/>
          <w:sz w:val="24"/>
          <w:szCs w:val="24"/>
        </w:rPr>
        <w:t>, ma al momento attuale questi risultati non sono stati replicati in altri lavori.</w:t>
      </w:r>
    </w:p>
    <w:p w14:paraId="25E438A0" w14:textId="77777777" w:rsidR="00711F81"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Livelli elevati di IL-6 rispecchierebbero lo stato infiammatorio, ma ad oggi il test è usato solo per ricerca. Frequenti sono anche trombocitosi ed anemia infiammatoria e l’aumento degli enzimi epatici</w:t>
      </w:r>
      <w:r w:rsidR="000A7A3E" w:rsidRPr="00580896">
        <w:rPr>
          <w:rFonts w:ascii="Times New Roman" w:hAnsi="Times New Roman" w:cs="Times New Roman"/>
          <w:sz w:val="24"/>
          <w:szCs w:val="24"/>
        </w:rPr>
        <w:fldChar w:fldCharType="begin" w:fldLock="1"/>
      </w:r>
      <w:r w:rsidR="000A7A3E"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3F5D1556" w14:textId="77777777" w:rsidR="001A08BD" w:rsidRPr="00580896" w:rsidRDefault="001A08BD" w:rsidP="00C25BDF">
      <w:pPr>
        <w:pStyle w:val="Paragrafoelenco"/>
        <w:numPr>
          <w:ilvl w:val="0"/>
          <w:numId w:val="24"/>
        </w:numPr>
        <w:spacing w:after="160" w:line="480" w:lineRule="auto"/>
        <w:rPr>
          <w:rFonts w:ascii="Times New Roman" w:hAnsi="Times New Roman"/>
          <w:sz w:val="24"/>
          <w:szCs w:val="24"/>
        </w:rPr>
      </w:pPr>
      <w:r w:rsidRPr="00580896">
        <w:rPr>
          <w:rFonts w:ascii="Times New Roman" w:hAnsi="Times New Roman"/>
          <w:b/>
          <w:sz w:val="24"/>
          <w:szCs w:val="24"/>
        </w:rPr>
        <w:t xml:space="preserve">Biopsia </w:t>
      </w:r>
    </w:p>
    <w:p w14:paraId="71085B75"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È obbligatorio eseguire una biopsia</w:t>
      </w:r>
      <w:r w:rsidRPr="00580896">
        <w:rPr>
          <w:rFonts w:ascii="Times New Roman" w:hAnsi="Times New Roman" w:cs="Times New Roman"/>
          <w:b/>
          <w:sz w:val="24"/>
          <w:szCs w:val="24"/>
        </w:rPr>
        <w:t xml:space="preserve"> </w:t>
      </w:r>
      <w:r w:rsidRPr="00580896">
        <w:rPr>
          <w:rFonts w:ascii="Times New Roman" w:hAnsi="Times New Roman" w:cs="Times New Roman"/>
          <w:sz w:val="24"/>
          <w:szCs w:val="24"/>
        </w:rPr>
        <w:t>dell’arteria temporale</w:t>
      </w:r>
      <w:r w:rsidR="000A7A3E" w:rsidRPr="00580896">
        <w:rPr>
          <w:rFonts w:ascii="Times New Roman" w:hAnsi="Times New Roman" w:cs="Times New Roman"/>
          <w:sz w:val="24"/>
          <w:szCs w:val="24"/>
        </w:rPr>
        <w:fldChar w:fldCharType="begin" w:fldLock="1"/>
      </w:r>
      <w:r w:rsidR="000A7A3E"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 anche se le evidenze più recenti dimostrano che l’ecografia Doppler ha una efficacia simile nel dimostrare l’arterite</w:t>
      </w:r>
      <w:r w:rsidR="00711F81" w:rsidRPr="00580896">
        <w:rPr>
          <w:rFonts w:ascii="Times New Roman" w:hAnsi="Times New Roman" w:cs="Times New Roman"/>
          <w:sz w:val="24"/>
          <w:szCs w:val="24"/>
        </w:rPr>
        <w:t xml:space="preserve">, </w:t>
      </w:r>
      <w:r w:rsidR="00032C31" w:rsidRPr="00580896">
        <w:rPr>
          <w:rFonts w:ascii="Times New Roman" w:hAnsi="Times New Roman" w:cs="Times New Roman"/>
          <w:sz w:val="24"/>
          <w:szCs w:val="24"/>
        </w:rPr>
        <w:t xml:space="preserve">essendo poi </w:t>
      </w:r>
      <w:r w:rsidR="00711F81" w:rsidRPr="00580896">
        <w:rPr>
          <w:rFonts w:ascii="Times New Roman" w:hAnsi="Times New Roman" w:cs="Times New Roman"/>
          <w:sz w:val="24"/>
          <w:szCs w:val="24"/>
        </w:rPr>
        <w:t xml:space="preserve">meno invasiva, più facile da eseguire e più economica </w:t>
      </w:r>
      <w:r w:rsidR="00C83AA8" w:rsidRPr="00580896">
        <w:rPr>
          <w:rFonts w:ascii="Times New Roman" w:hAnsi="Times New Roman" w:cs="Times New Roman"/>
          <w:sz w:val="24"/>
          <w:szCs w:val="24"/>
        </w:rPr>
        <w:fldChar w:fldCharType="begin" w:fldLock="1"/>
      </w:r>
      <w:r w:rsidR="00F66ECC" w:rsidRPr="00580896">
        <w:rPr>
          <w:rFonts w:ascii="Times New Roman" w:hAnsi="Times New Roman" w:cs="Times New Roman"/>
          <w:sz w:val="24"/>
          <w:szCs w:val="24"/>
        </w:rPr>
        <w:instrText>ADDIN CSL_CITATION {"citationItems":[{"id":"ITEM-1","itemData":{"author":[{"dropping-particle":"","family":"Zou","given":"Quan","non-dropping-particle":"","parse-names":false,"suffix":""},{"dropping-particle":"","family":"Ma","given":"Sumei","non-dropping-particle":"","parse-names":false,"suffix":""},{"dropping-particle":"","family":"Zhou","given":"Xinghu","non-dropping-particle":"","parse-names":false,"suffix":""}],"id":"ITEM-1","issued":{"date-parts":[["2019"]]},"page":"1-12","publisher":"BMC Medical Imaging","title":"Ultrasound versus temporal artery biopsy in patients with Giant cell arteritis : a prospective cohort study","type":"article-journal"},"uris":["http://www.mendeley.com/documents/?uuid=e5d8bea3-107f-4b69-9693-84c64c7ad8fd"]}],"mendeley":{"formattedCitation":"&lt;sup&gt;30&lt;/sup&gt;","plainTextFormattedCitation":"30","previouslyFormattedCitation":"&lt;sup&gt;30&lt;/sup&gt;"},"properties":{"noteIndex":0},"schema":"https://github.com/citation-style-language/schema/raw/master/csl-citation.json"}</w:instrText>
      </w:r>
      <w:r w:rsidR="00C83AA8" w:rsidRPr="00580896">
        <w:rPr>
          <w:rFonts w:ascii="Times New Roman" w:hAnsi="Times New Roman" w:cs="Times New Roman"/>
          <w:sz w:val="24"/>
          <w:szCs w:val="24"/>
        </w:rPr>
        <w:fldChar w:fldCharType="separate"/>
      </w:r>
      <w:r w:rsidR="00C41B3B" w:rsidRPr="00580896">
        <w:rPr>
          <w:rFonts w:ascii="Times New Roman" w:hAnsi="Times New Roman" w:cs="Times New Roman"/>
          <w:noProof/>
          <w:sz w:val="24"/>
          <w:szCs w:val="24"/>
          <w:vertAlign w:val="superscript"/>
        </w:rPr>
        <w:t>30</w:t>
      </w:r>
      <w:r w:rsidR="00C83AA8" w:rsidRPr="00580896">
        <w:rPr>
          <w:rFonts w:ascii="Times New Roman" w:hAnsi="Times New Roman" w:cs="Times New Roman"/>
          <w:sz w:val="24"/>
          <w:szCs w:val="24"/>
        </w:rPr>
        <w:fldChar w:fldCharType="end"/>
      </w:r>
      <w:r w:rsidR="00711F81" w:rsidRPr="00580896">
        <w:rPr>
          <w:rFonts w:ascii="Times New Roman" w:hAnsi="Times New Roman" w:cs="Times New Roman"/>
          <w:sz w:val="24"/>
          <w:szCs w:val="24"/>
        </w:rPr>
        <w:t>.</w:t>
      </w:r>
    </w:p>
    <w:p w14:paraId="68A981D3"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 xml:space="preserve"> Un campione di lunghezza superiore ai 5mm aumenta la probabilità diagnostica, ma la dimensione ottimale del campione risulta di 2cm o addirittura 3-5cm se eseguita in assenza di dolore. La biopsia deve essere eseguita entro due settimane dall’inizio della terapia steroidea, ma il campione può mostrare segni di arterite anche dopo 2-4 settimane</w:t>
      </w:r>
      <w:r w:rsidR="007B0CE1" w:rsidRPr="00580896">
        <w:rPr>
          <w:rFonts w:ascii="Times New Roman" w:hAnsi="Times New Roman" w:cs="Times New Roman"/>
          <w:sz w:val="24"/>
          <w:szCs w:val="24"/>
        </w:rPr>
        <w:t xml:space="preserve"> </w:t>
      </w:r>
      <w:r w:rsidRPr="00580896">
        <w:rPr>
          <w:rFonts w:ascii="Times New Roman" w:hAnsi="Times New Roman" w:cs="Times New Roman"/>
          <w:sz w:val="24"/>
          <w:szCs w:val="24"/>
        </w:rPr>
        <w:t xml:space="preserve">di trattamento </w:t>
      </w:r>
      <w:r w:rsidR="00C83AA8" w:rsidRPr="00580896">
        <w:rPr>
          <w:rFonts w:ascii="Times New Roman" w:hAnsi="Times New Roman" w:cs="Times New Roman"/>
          <w:sz w:val="24"/>
          <w:szCs w:val="24"/>
        </w:rPr>
        <w:fldChar w:fldCharType="begin" w:fldLock="1"/>
      </w:r>
      <w:r w:rsidR="00F66ECC" w:rsidRPr="00580896">
        <w:rPr>
          <w:rFonts w:ascii="Times New Roman" w:hAnsi="Times New Roman" w:cs="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C83AA8" w:rsidRPr="00580896">
        <w:rPr>
          <w:rFonts w:ascii="Times New Roman" w:hAnsi="Times New Roman" w:cs="Times New Roman"/>
          <w:sz w:val="24"/>
          <w:szCs w:val="24"/>
        </w:rPr>
        <w:fldChar w:fldCharType="separate"/>
      </w:r>
      <w:r w:rsidR="00C41B3B" w:rsidRPr="00580896">
        <w:rPr>
          <w:rFonts w:ascii="Times New Roman" w:hAnsi="Times New Roman" w:cs="Times New Roman"/>
          <w:noProof/>
          <w:sz w:val="24"/>
          <w:szCs w:val="24"/>
          <w:vertAlign w:val="superscript"/>
        </w:rPr>
        <w:t>9</w:t>
      </w:r>
      <w:r w:rsidR="00C83AA8"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49E67243" w14:textId="77777777" w:rsidR="007B0CE1" w:rsidRDefault="007B0CE1" w:rsidP="009464C3">
      <w:pPr>
        <w:spacing w:line="360" w:lineRule="auto"/>
        <w:rPr>
          <w:rFonts w:ascii="Times New Roman" w:hAnsi="Times New Roman" w:cs="Times New Roman"/>
        </w:rPr>
      </w:pPr>
      <w:r>
        <w:rPr>
          <w:rFonts w:ascii="Times New Roman" w:hAnsi="Times New Roman" w:cs="Times New Roman"/>
          <w:noProof/>
          <w:lang w:eastAsia="it-IT"/>
        </w:rPr>
        <w:lastRenderedPageBreak/>
        <w:drawing>
          <wp:anchor distT="0" distB="0" distL="114300" distR="114300" simplePos="0" relativeHeight="251658240" behindDoc="0" locked="0" layoutInCell="1" allowOverlap="1" wp14:anchorId="7F44C0B4" wp14:editId="0BA1AE35">
            <wp:simplePos x="0" y="0"/>
            <wp:positionH relativeFrom="column">
              <wp:posOffset>577</wp:posOffset>
            </wp:positionH>
            <wp:positionV relativeFrom="paragraph">
              <wp:posOffset>3175</wp:posOffset>
            </wp:positionV>
            <wp:extent cx="2639190" cy="19812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psia arteria tempora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190" cy="1981200"/>
                    </a:xfrm>
                    <a:prstGeom prst="rect">
                      <a:avLst/>
                    </a:prstGeom>
                  </pic:spPr>
                </pic:pic>
              </a:graphicData>
            </a:graphic>
          </wp:anchor>
        </w:drawing>
      </w:r>
    </w:p>
    <w:p w14:paraId="28BA62C9" w14:textId="77777777" w:rsidR="007B0CE1" w:rsidRPr="00F555AD" w:rsidRDefault="007B0CE1" w:rsidP="009464C3">
      <w:pPr>
        <w:spacing w:line="360" w:lineRule="auto"/>
        <w:rPr>
          <w:rFonts w:ascii="Times New Roman" w:hAnsi="Times New Roman" w:cs="Times New Roman"/>
        </w:rPr>
      </w:pPr>
    </w:p>
    <w:p w14:paraId="116C88D2" w14:textId="77777777" w:rsidR="007B0CE1" w:rsidRPr="00430492" w:rsidRDefault="007B0CE1" w:rsidP="001C0E1A">
      <w:pPr>
        <w:spacing w:line="240" w:lineRule="auto"/>
        <w:rPr>
          <w:rFonts w:ascii="Times New Roman" w:hAnsi="Times New Roman" w:cs="Times New Roman"/>
          <w:sz w:val="20"/>
          <w:szCs w:val="20"/>
          <w:shd w:val="clear" w:color="auto" w:fill="FFFFFF"/>
        </w:rPr>
      </w:pPr>
      <w:r w:rsidRPr="00430492">
        <w:rPr>
          <w:rFonts w:ascii="Times New Roman" w:hAnsi="Times New Roman" w:cs="Times New Roman"/>
          <w:b/>
          <w:sz w:val="20"/>
          <w:szCs w:val="20"/>
        </w:rPr>
        <w:t>Figura 2.</w:t>
      </w:r>
      <w:r w:rsidRPr="00430492">
        <w:rPr>
          <w:rFonts w:ascii="Times New Roman" w:hAnsi="Times New Roman" w:cs="Times New Roman"/>
          <w:sz w:val="20"/>
          <w:szCs w:val="20"/>
        </w:rPr>
        <w:t xml:space="preserve"> Immagine intraoperatoria di una biopsia dell’arteria temporale sinistra</w:t>
      </w:r>
      <w:r w:rsidRPr="00430492">
        <w:rPr>
          <w:rFonts w:ascii="Times New Roman" w:hAnsi="Times New Roman" w:cs="Times New Roman"/>
          <w:sz w:val="20"/>
          <w:szCs w:val="20"/>
          <w:shd w:val="clear" w:color="auto" w:fill="FFFFFF"/>
        </w:rPr>
        <w:t>. Dimensioni del campione &gt;1 cm</w:t>
      </w:r>
      <w:r w:rsidR="00C83AA8" w:rsidRPr="00430492">
        <w:rPr>
          <w:rFonts w:ascii="Times New Roman" w:hAnsi="Times New Roman" w:cs="Times New Roman"/>
          <w:sz w:val="20"/>
          <w:szCs w:val="20"/>
          <w:shd w:val="clear" w:color="auto" w:fill="FFFFFF"/>
        </w:rPr>
        <w:fldChar w:fldCharType="begin" w:fldLock="1"/>
      </w:r>
      <w:r w:rsidR="00F66ECC" w:rsidRPr="00430492">
        <w:rPr>
          <w:rFonts w:ascii="Times New Roman" w:hAnsi="Times New Roman" w:cs="Times New Roman"/>
          <w:sz w:val="20"/>
          <w:szCs w:val="20"/>
          <w:shd w:val="clear" w:color="auto" w:fill="FFFFFF"/>
        </w:rPr>
        <w:instrText>ADDIN CSL_CITATION {"citationItems":[{"id":"ITEM-1","itemData":{"DOI":"10.4317/medoral.22298","author":[{"dropping-particle":"","family":"Peral-cagigal","given":"Beatriz","non-dropping-particle":"","parse-names":false,"suffix":""},{"dropping-particle":"","family":"Pérez-villar","given":"Álvaro","non-dropping-particle":"","parse-names":false,"suffix":""},{"dropping-particle":"","family":"García-sierra","given":"Claudia","non-dropping-particle":"","parse-names":false,"suffix":""}],"id":"ITEM-1","issue":"3","issued":{"date-parts":[["2018"]]},"page":"290-294","title":"Temporal headache and jaw claudication may be the key for the diagnosis of giant cell arteritis","type":"article-journal","volume":"23"},"uris":["http://www.mendeley.com/documents/?uuid=a4264f15-52a2-491d-a441-246b86d64fde"]}],"mendeley":{"formattedCitation":"&lt;sup&gt;31&lt;/sup&gt;","plainTextFormattedCitation":"31","previouslyFormattedCitation":"&lt;sup&gt;31&lt;/sup&gt;"},"properties":{"noteIndex":0},"schema":"https://github.com/citation-style-language/schema/raw/master/csl-citation.json"}</w:instrText>
      </w:r>
      <w:r w:rsidR="00C83AA8" w:rsidRPr="00430492">
        <w:rPr>
          <w:rFonts w:ascii="Times New Roman" w:hAnsi="Times New Roman" w:cs="Times New Roman"/>
          <w:sz w:val="20"/>
          <w:szCs w:val="20"/>
          <w:shd w:val="clear" w:color="auto" w:fill="FFFFFF"/>
        </w:rPr>
        <w:fldChar w:fldCharType="separate"/>
      </w:r>
      <w:r w:rsidR="00C41B3B" w:rsidRPr="00430492">
        <w:rPr>
          <w:rFonts w:ascii="Times New Roman" w:hAnsi="Times New Roman" w:cs="Times New Roman"/>
          <w:noProof/>
          <w:sz w:val="20"/>
          <w:szCs w:val="20"/>
          <w:shd w:val="clear" w:color="auto" w:fill="FFFFFF"/>
          <w:vertAlign w:val="superscript"/>
        </w:rPr>
        <w:t>31</w:t>
      </w:r>
      <w:r w:rsidR="00C83AA8" w:rsidRPr="00430492">
        <w:rPr>
          <w:rFonts w:ascii="Times New Roman" w:hAnsi="Times New Roman" w:cs="Times New Roman"/>
          <w:sz w:val="20"/>
          <w:szCs w:val="20"/>
          <w:shd w:val="clear" w:color="auto" w:fill="FFFFFF"/>
        </w:rPr>
        <w:fldChar w:fldCharType="end"/>
      </w:r>
      <w:r w:rsidRPr="00430492">
        <w:rPr>
          <w:rFonts w:ascii="Times New Roman" w:hAnsi="Times New Roman" w:cs="Times New Roman"/>
          <w:sz w:val="20"/>
          <w:szCs w:val="20"/>
          <w:shd w:val="clear" w:color="auto" w:fill="FFFFFF"/>
        </w:rPr>
        <w:t>.</w:t>
      </w:r>
    </w:p>
    <w:p w14:paraId="0BC9A4ED" w14:textId="77777777" w:rsidR="007B0CE1" w:rsidRDefault="007B0CE1" w:rsidP="009464C3">
      <w:pPr>
        <w:spacing w:line="360" w:lineRule="auto"/>
        <w:rPr>
          <w:rFonts w:ascii="Times New Roman" w:hAnsi="Times New Roman" w:cs="Times New Roman"/>
        </w:rPr>
      </w:pPr>
    </w:p>
    <w:p w14:paraId="51C8DA42" w14:textId="77777777" w:rsidR="007B0CE1" w:rsidRDefault="007B0CE1" w:rsidP="009464C3">
      <w:pPr>
        <w:spacing w:line="360" w:lineRule="auto"/>
        <w:rPr>
          <w:rFonts w:ascii="Times New Roman" w:hAnsi="Times New Roman" w:cs="Times New Roman"/>
        </w:rPr>
      </w:pPr>
    </w:p>
    <w:p w14:paraId="2169FEBA"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Il carattere focale e segmentale della patologia può causare il mancato prelievo della parte del vaso interessata dall’infiltrato infiammatorio e quindi, all’esame istologico, il 10-30% dei reperti risulta normale. Qualora fosse negativa, andrebbe effettuata biopsia dell’arteria temporale controlaterale e, se presenti obiettività in sede occipitale, una biopsia dell’arteria occipitale</w:t>
      </w:r>
      <w:r w:rsidR="000A7A3E" w:rsidRPr="00580896">
        <w:rPr>
          <w:rFonts w:ascii="Times New Roman" w:hAnsi="Times New Roman" w:cs="Times New Roman"/>
          <w:sz w:val="24"/>
          <w:szCs w:val="24"/>
        </w:rPr>
        <w:fldChar w:fldCharType="begin" w:fldLock="1"/>
      </w:r>
      <w:r w:rsidR="000A7A3E"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7A5DFCDC"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Nelle forme di AGC extracranica invece è molto spesso impossibile eseguire una biopsia dei grossi vasi</w:t>
      </w:r>
      <w:r w:rsidR="00032C31" w:rsidRPr="00580896">
        <w:rPr>
          <w:rFonts w:ascii="Times New Roman" w:hAnsi="Times New Roman" w:cs="Times New Roman"/>
          <w:sz w:val="24"/>
          <w:szCs w:val="24"/>
        </w:rPr>
        <w:t>, a meno che un aneurisma non indichi il ricorso</w:t>
      </w:r>
      <w:r w:rsidRPr="00580896">
        <w:rPr>
          <w:rFonts w:ascii="Times New Roman" w:hAnsi="Times New Roman" w:cs="Times New Roman"/>
          <w:sz w:val="24"/>
          <w:szCs w:val="24"/>
        </w:rPr>
        <w:t xml:space="preserve"> al chirurgo vascolare</w:t>
      </w:r>
      <w:r w:rsidR="001B77DA" w:rsidRPr="00580896">
        <w:rPr>
          <w:rFonts w:ascii="Times New Roman" w:hAnsi="Times New Roman" w:cs="Times New Roman"/>
          <w:sz w:val="24"/>
          <w:szCs w:val="24"/>
        </w:rPr>
        <w:fldChar w:fldCharType="begin" w:fldLock="1"/>
      </w:r>
      <w:r w:rsidR="00F66ECC" w:rsidRPr="00580896">
        <w:rPr>
          <w:rFonts w:ascii="Times New Roman" w:hAnsi="Times New Roman" w:cs="Times New Roman"/>
          <w:sz w:val="24"/>
          <w:szCs w:val="24"/>
        </w:rPr>
        <w:instrText>ADDIN CSL_CITATION {"citationItems":[{"id":"ITEM-1","itemData":{"ISSN":"03002977","abstract":"A systematic literature search was performed to summarise current knowledge on extracranial giant cell arteritis (GCA), i.e. large-artery involvement in patients with or without clinically apparent temporal arteritis (cranial GCA). Extracranial GCA is increasingly recognised, both in patients with cranial GCA and with solitary extracranial GCA, due to increased awareness among physicians and development of modern imaging modalities. The literature on the pathogenesis and histopathology of extracranial GCA is scarce. It is considered to be similar to cranial GCA. Patients with solitary extracranial GCA often present with non-specific signs and symptoms, although vascular manifestations, mostly secondary to stenosis, may occur. Due to the non-specific clinical presentation and low sensitivity of temporal artery biopsies, extracranial GCA is usually diagnosed by imaging. 18F-FDG-PET, MRI, CT angiography and ultrasound are used for this purpose. At present, the optimal diagnostic strategy is undetermined. The choice for a particular modality can be guided by the clinical scenario that raises suspicion of extracranial GCA, in addition to local availability and expertise. Extracranial complications in GCA consist of aortic aneurysm or dissection (mainly the ascending aorta), aortic arch syndrome, arm claudication and posterior stroke (although this is technically a cranial complication, it often results from stenosis of the vertebrobasilar arteries). Mortality is generally not increased in patients with GCA. Treatment of patients with solitary extracranial and those with extracranial and cranial GCA has been debated in the recent literature. In general, the same strategy is applied as in patients with temporal arteritis, although criteria regarding who to treat are unclear. Surgical procedures may be indicated, in which case optimal medical treatment prior to surgery is important.","author":[{"dropping-particle":"","family":"Lensen","given":"K. D.F.","non-dropping-particle":"","parse-names":false,"suffix":""},{"dropping-particle":"","family":"Voskuyl","given":"A. E.","non-dropping-particle":"","parse-names":false,"suffix":""},{"dropping-particle":"","family":"Comans","given":"E. F.I.","non-dropping-particle":"","parse-names":false,"suffix":""},{"dropping-particle":"","family":"Laken","given":"C. J.","non-dropping-particle":"van der","parse-names":false,"suffix":""},{"dropping-particle":"","family":"Smulders","given":"Y. M.","non-dropping-particle":"","parse-names":false,"suffix":""}],"container-title":"Netherlands Journal of Medicine","id":"ITEM-1","issue":"5","issued":{"date-parts":[["2016"]]},"page":"182-192","title":"Extracranial giant cell arteritis: A narrative review","type":"article-journal","volume":"74"},"uris":["http://www.mendeley.com/documents/?uuid=e0f6e6de-296c-4c57-81b1-02a05decd7ea"]}],"mendeley":{"formattedCitation":"&lt;sup&gt;2&lt;/sup&gt;","plainTextFormattedCitation":"2","previouslyFormattedCitation":"&lt;sup&gt;2&lt;/sup&gt;"},"properties":{"noteIndex":0},"schema":"https://github.com/citation-style-language/schema/raw/master/csl-citation.json"}</w:instrText>
      </w:r>
      <w:r w:rsidR="001B77DA" w:rsidRPr="00580896">
        <w:rPr>
          <w:rFonts w:ascii="Times New Roman" w:hAnsi="Times New Roman" w:cs="Times New Roman"/>
          <w:sz w:val="24"/>
          <w:szCs w:val="24"/>
        </w:rPr>
        <w:fldChar w:fldCharType="separate"/>
      </w:r>
      <w:r w:rsidR="00C41B3B" w:rsidRPr="00580896">
        <w:rPr>
          <w:rFonts w:ascii="Times New Roman" w:hAnsi="Times New Roman" w:cs="Times New Roman"/>
          <w:noProof/>
          <w:sz w:val="24"/>
          <w:szCs w:val="24"/>
          <w:vertAlign w:val="superscript"/>
        </w:rPr>
        <w:t>2</w:t>
      </w:r>
      <w:r w:rsidR="001B77DA"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02BA7538"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 xml:space="preserve">Non esistendo dei criteri validati per determinare se l’arterite gigantocellulare sia presente in caso di biopsia negativa ed essendoci difficoltà nel biopsiare i grandi vasi nella forma extracranica, risulta spesso di aiuto completare l’iter diagnostico con indagini di imaging, </w:t>
      </w:r>
      <w:r w:rsidR="00032C31" w:rsidRPr="00580896">
        <w:rPr>
          <w:rFonts w:ascii="Times New Roman" w:hAnsi="Times New Roman" w:cs="Times New Roman"/>
          <w:sz w:val="24"/>
          <w:szCs w:val="24"/>
        </w:rPr>
        <w:t>quali</w:t>
      </w:r>
      <w:r w:rsidRPr="00580896">
        <w:rPr>
          <w:rFonts w:ascii="Times New Roman" w:hAnsi="Times New Roman" w:cs="Times New Roman"/>
          <w:sz w:val="24"/>
          <w:szCs w:val="24"/>
        </w:rPr>
        <w:t xml:space="preserve"> ECO color doppler, MRI, angiografia e PET</w:t>
      </w:r>
      <w:r w:rsidR="000A7A3E" w:rsidRPr="00580896">
        <w:rPr>
          <w:rFonts w:ascii="Times New Roman" w:hAnsi="Times New Roman" w:cs="Times New Roman"/>
          <w:sz w:val="24"/>
          <w:szCs w:val="24"/>
        </w:rPr>
        <w:fldChar w:fldCharType="begin" w:fldLock="1"/>
      </w:r>
      <w:r w:rsidR="000A7A3E"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462F8B08" w14:textId="77777777" w:rsidR="00C25BDF"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 xml:space="preserve">Il reperto istologico nel 50% dei casi, mostra flogosi granulomatosa con poche cellule multinucleate poste vicino alla lamina elastica. </w:t>
      </w:r>
      <w:r w:rsidR="00032C31" w:rsidRPr="00580896">
        <w:rPr>
          <w:rFonts w:ascii="Times New Roman" w:hAnsi="Times New Roman" w:cs="Times New Roman"/>
          <w:sz w:val="24"/>
          <w:szCs w:val="24"/>
        </w:rPr>
        <w:t>La biopsia è</w:t>
      </w:r>
      <w:r w:rsidRPr="00580896">
        <w:rPr>
          <w:rFonts w:ascii="Times New Roman" w:hAnsi="Times New Roman" w:cs="Times New Roman"/>
          <w:sz w:val="24"/>
          <w:szCs w:val="24"/>
        </w:rPr>
        <w:t xml:space="preserve"> considerata positiva anche in casi non classici con assenza di cellule giganti e flogosi vascolare. Sono assenti invece necrosi fibrinoide (differenziano da vasculite sistemica) e depositi di amiloide (supportano amiloidosi)</w:t>
      </w:r>
      <w:r w:rsidR="000A7A3E" w:rsidRPr="00580896">
        <w:rPr>
          <w:rFonts w:ascii="Times New Roman" w:hAnsi="Times New Roman" w:cs="Times New Roman"/>
          <w:sz w:val="24"/>
          <w:szCs w:val="24"/>
        </w:rPr>
        <w:fldChar w:fldCharType="begin" w:fldLock="1"/>
      </w:r>
      <w:r w:rsidR="00FB4D32"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0A7A3E" w:rsidRPr="00580896">
        <w:rPr>
          <w:rFonts w:ascii="Times New Roman" w:hAnsi="Times New Roman" w:cs="Times New Roman"/>
          <w:sz w:val="24"/>
          <w:szCs w:val="24"/>
        </w:rPr>
        <w:fldChar w:fldCharType="separate"/>
      </w:r>
      <w:r w:rsidR="000A7A3E" w:rsidRPr="00580896">
        <w:rPr>
          <w:rFonts w:ascii="Times New Roman" w:hAnsi="Times New Roman" w:cs="Times New Roman"/>
          <w:noProof/>
          <w:sz w:val="24"/>
          <w:szCs w:val="24"/>
          <w:vertAlign w:val="superscript"/>
        </w:rPr>
        <w:t>1</w:t>
      </w:r>
      <w:r w:rsidR="000A7A3E" w:rsidRPr="00580896">
        <w:rPr>
          <w:rFonts w:ascii="Times New Roman" w:hAnsi="Times New Roman" w:cs="Times New Roman"/>
          <w:sz w:val="24"/>
          <w:szCs w:val="24"/>
        </w:rPr>
        <w:fldChar w:fldCharType="end"/>
      </w:r>
      <w:r w:rsidRPr="00580896">
        <w:rPr>
          <w:rFonts w:ascii="Times New Roman" w:hAnsi="Times New Roman" w:cs="Times New Roman"/>
          <w:sz w:val="24"/>
          <w:szCs w:val="24"/>
        </w:rPr>
        <w:t>.</w:t>
      </w:r>
    </w:p>
    <w:p w14:paraId="28F599C3" w14:textId="77777777" w:rsidR="001C0E1A" w:rsidRDefault="001C0E1A" w:rsidP="00C25BDF">
      <w:pPr>
        <w:spacing w:line="480" w:lineRule="auto"/>
        <w:rPr>
          <w:rFonts w:ascii="Times New Roman" w:hAnsi="Times New Roman" w:cs="Times New Roman"/>
        </w:rPr>
      </w:pPr>
    </w:p>
    <w:p w14:paraId="71188EE0" w14:textId="77777777" w:rsidR="001F4452" w:rsidRDefault="001F4452" w:rsidP="009464C3">
      <w:pPr>
        <w:spacing w:line="360" w:lineRule="auto"/>
        <w:rPr>
          <w:rFonts w:ascii="Times New Roman" w:hAnsi="Times New Roman" w:cs="Times New Roman"/>
        </w:rPr>
      </w:pPr>
      <w:r>
        <w:rPr>
          <w:rFonts w:ascii="Times New Roman" w:hAnsi="Times New Roman" w:cs="Times New Roman"/>
          <w:noProof/>
          <w:lang w:eastAsia="it-IT"/>
        </w:rPr>
        <w:drawing>
          <wp:inline distT="0" distB="0" distL="0" distR="0" wp14:anchorId="54A4E19F" wp14:editId="54707DB5">
            <wp:extent cx="4526280" cy="381904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stopathology of the temporal artery (arrow shows giant cell arteritis). Magnification view 100,magnification bar 25 μm.jpg"/>
                    <pic:cNvPicPr/>
                  </pic:nvPicPr>
                  <pic:blipFill>
                    <a:blip r:embed="rId11">
                      <a:extLst>
                        <a:ext uri="{28A0092B-C50C-407E-A947-70E740481C1C}">
                          <a14:useLocalDpi xmlns:a14="http://schemas.microsoft.com/office/drawing/2010/main" val="0"/>
                        </a:ext>
                      </a:extLst>
                    </a:blip>
                    <a:stretch>
                      <a:fillRect/>
                    </a:stretch>
                  </pic:blipFill>
                  <pic:spPr>
                    <a:xfrm>
                      <a:off x="0" y="0"/>
                      <a:ext cx="4553661" cy="3842152"/>
                    </a:xfrm>
                    <a:prstGeom prst="rect">
                      <a:avLst/>
                    </a:prstGeom>
                  </pic:spPr>
                </pic:pic>
              </a:graphicData>
            </a:graphic>
          </wp:inline>
        </w:drawing>
      </w:r>
    </w:p>
    <w:p w14:paraId="562E1AB0" w14:textId="77777777" w:rsidR="001F4452" w:rsidRPr="00430492" w:rsidRDefault="001F4452" w:rsidP="009464C3">
      <w:pPr>
        <w:spacing w:line="360" w:lineRule="auto"/>
        <w:rPr>
          <w:rFonts w:ascii="Times New Roman" w:hAnsi="Times New Roman" w:cs="Times New Roman"/>
          <w:sz w:val="20"/>
          <w:szCs w:val="20"/>
        </w:rPr>
      </w:pPr>
      <w:r w:rsidRPr="00430492">
        <w:rPr>
          <w:rFonts w:ascii="Times New Roman" w:hAnsi="Times New Roman" w:cs="Times New Roman"/>
          <w:b/>
          <w:sz w:val="20"/>
          <w:szCs w:val="20"/>
        </w:rPr>
        <w:t xml:space="preserve">Figura 2. </w:t>
      </w:r>
      <w:r w:rsidR="00794406" w:rsidRPr="00430492">
        <w:rPr>
          <w:rFonts w:ascii="Times New Roman" w:hAnsi="Times New Roman" w:cs="Times New Roman"/>
          <w:sz w:val="20"/>
          <w:szCs w:val="20"/>
        </w:rPr>
        <w:t xml:space="preserve">Istopatologia dell’arteria temporale (la freccia indica le cellule multinucleate) </w:t>
      </w:r>
      <w:r w:rsidR="001B77DA" w:rsidRPr="00430492">
        <w:rPr>
          <w:rFonts w:ascii="Times New Roman" w:hAnsi="Times New Roman" w:cs="Times New Roman"/>
          <w:sz w:val="20"/>
          <w:szCs w:val="20"/>
        </w:rPr>
        <w:fldChar w:fldCharType="begin" w:fldLock="1"/>
      </w:r>
      <w:r w:rsidR="00F66ECC" w:rsidRPr="00430492">
        <w:rPr>
          <w:rFonts w:ascii="Times New Roman" w:hAnsi="Times New Roman" w:cs="Times New Roman"/>
          <w:sz w:val="20"/>
          <w:szCs w:val="20"/>
        </w:rPr>
        <w:instrText>ADDIN CSL_CITATION {"citationItems":[{"id":"ITEM-1","itemData":{"author":[{"dropping-particle":"","family":"Zou","given":"Quan","non-dropping-particle":"","parse-names":false,"suffix":""},{"dropping-particle":"","family":"Ma","given":"Sumei","non-dropping-particle":"","parse-names":false,"suffix":""},{"dropping-particle":"","family":"Zhou","given":"Xinghu","non-dropping-particle":"","parse-names":false,"suffix":""}],"id":"ITEM-1","issued":{"date-parts":[["2019"]]},"page":"1-12","publisher":"BMC Medical Imaging","title":"Ultrasound versus temporal artery biopsy in patients with Giant cell arteritis : a prospective cohort study","type":"article-journal"},"uris":["http://www.mendeley.com/documents/?uuid=e5d8bea3-107f-4b69-9693-84c64c7ad8fd"]}],"mendeley":{"formattedCitation":"&lt;sup&gt;30&lt;/sup&gt;","plainTextFormattedCitation":"30","previouslyFormattedCitation":"&lt;sup&gt;30&lt;/sup&gt;"},"properties":{"noteIndex":0},"schema":"https://github.com/citation-style-language/schema/raw/master/csl-citation.json"}</w:instrText>
      </w:r>
      <w:r w:rsidR="001B77DA" w:rsidRPr="00430492">
        <w:rPr>
          <w:rFonts w:ascii="Times New Roman" w:hAnsi="Times New Roman" w:cs="Times New Roman"/>
          <w:sz w:val="20"/>
          <w:szCs w:val="20"/>
        </w:rPr>
        <w:fldChar w:fldCharType="separate"/>
      </w:r>
      <w:r w:rsidR="00C41B3B" w:rsidRPr="00430492">
        <w:rPr>
          <w:rFonts w:ascii="Times New Roman" w:hAnsi="Times New Roman" w:cs="Times New Roman"/>
          <w:noProof/>
          <w:sz w:val="20"/>
          <w:szCs w:val="20"/>
          <w:vertAlign w:val="superscript"/>
        </w:rPr>
        <w:t>30</w:t>
      </w:r>
      <w:r w:rsidR="001B77DA" w:rsidRPr="00430492">
        <w:rPr>
          <w:rFonts w:ascii="Times New Roman" w:hAnsi="Times New Roman" w:cs="Times New Roman"/>
          <w:sz w:val="20"/>
          <w:szCs w:val="20"/>
        </w:rPr>
        <w:fldChar w:fldCharType="end"/>
      </w:r>
      <w:r w:rsidR="00794406" w:rsidRPr="00430492">
        <w:rPr>
          <w:rFonts w:ascii="Times New Roman" w:hAnsi="Times New Roman" w:cs="Times New Roman"/>
          <w:sz w:val="20"/>
          <w:szCs w:val="20"/>
        </w:rPr>
        <w:t>. Ingrandimento x100</w:t>
      </w:r>
    </w:p>
    <w:p w14:paraId="41C2C0C2" w14:textId="77777777" w:rsidR="000A7A3E" w:rsidRDefault="000A7A3E" w:rsidP="009464C3">
      <w:pPr>
        <w:spacing w:line="360" w:lineRule="auto"/>
        <w:rPr>
          <w:rFonts w:ascii="Times New Roman" w:hAnsi="Times New Roman" w:cs="Times New Roman"/>
          <w:color w:val="FF0000"/>
        </w:rPr>
      </w:pPr>
    </w:p>
    <w:p w14:paraId="67699EC0" w14:textId="77777777" w:rsidR="001A08BD" w:rsidRPr="00580896" w:rsidRDefault="001A08BD" w:rsidP="00C25BDF">
      <w:pPr>
        <w:pStyle w:val="Paragrafoelenco"/>
        <w:numPr>
          <w:ilvl w:val="0"/>
          <w:numId w:val="24"/>
        </w:numPr>
        <w:spacing w:after="160" w:line="480" w:lineRule="auto"/>
        <w:rPr>
          <w:rFonts w:ascii="Times New Roman" w:hAnsi="Times New Roman"/>
          <w:b/>
          <w:sz w:val="24"/>
          <w:szCs w:val="24"/>
        </w:rPr>
      </w:pPr>
      <w:r w:rsidRPr="00580896">
        <w:rPr>
          <w:rFonts w:ascii="Times New Roman" w:hAnsi="Times New Roman"/>
          <w:b/>
          <w:sz w:val="24"/>
          <w:szCs w:val="24"/>
        </w:rPr>
        <w:t>Esami strumentali</w:t>
      </w:r>
    </w:p>
    <w:p w14:paraId="59FC2881"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Nella diagnosi della AGC l’imaging ha assunto un ruolo sempre più importante, vista la non invasività delle metodiche e la possibilità di confermare la diagnosi nei casi di biopsia negativa o di sospetta aortite, quando è impossibile effettuare la biopsia senza ricorrere ad un intervento di chirurgia vascolare.</w:t>
      </w:r>
    </w:p>
    <w:p w14:paraId="39AAC743" w14:textId="77777777" w:rsidR="001A08BD" w:rsidRPr="00580896" w:rsidRDefault="001A08BD" w:rsidP="00C25BDF">
      <w:pPr>
        <w:spacing w:line="480" w:lineRule="auto"/>
        <w:rPr>
          <w:rFonts w:ascii="Times New Roman" w:hAnsi="Times New Roman" w:cs="Times New Roman"/>
          <w:sz w:val="24"/>
          <w:szCs w:val="24"/>
        </w:rPr>
      </w:pPr>
      <w:r w:rsidRPr="00580896">
        <w:rPr>
          <w:rFonts w:ascii="Times New Roman" w:hAnsi="Times New Roman" w:cs="Times New Roman"/>
          <w:sz w:val="24"/>
          <w:szCs w:val="24"/>
        </w:rPr>
        <w:t>Sono diverse le tecniche a cui si può ricorrere per fare diagnosi di AGC.</w:t>
      </w:r>
    </w:p>
    <w:p w14:paraId="67AB2C7B" w14:textId="77777777" w:rsidR="004258B6" w:rsidRPr="00580896" w:rsidRDefault="001A08BD" w:rsidP="004258B6">
      <w:pPr>
        <w:spacing w:line="480" w:lineRule="auto"/>
        <w:rPr>
          <w:rFonts w:ascii="Times New Roman" w:hAnsi="Times New Roman" w:cs="Times New Roman"/>
          <w:sz w:val="24"/>
          <w:szCs w:val="24"/>
        </w:rPr>
      </w:pPr>
      <w:r w:rsidRPr="00580896">
        <w:rPr>
          <w:rFonts w:ascii="Times New Roman" w:hAnsi="Times New Roman" w:cs="Times New Roman"/>
          <w:sz w:val="24"/>
          <w:szCs w:val="24"/>
        </w:rPr>
        <w:t>L’ultrasonografia</w:t>
      </w:r>
      <w:r w:rsidR="00032C31" w:rsidRPr="00580896">
        <w:rPr>
          <w:rFonts w:ascii="Times New Roman" w:hAnsi="Times New Roman" w:cs="Times New Roman"/>
          <w:sz w:val="24"/>
          <w:szCs w:val="24"/>
        </w:rPr>
        <w:t>,</w:t>
      </w:r>
      <w:r w:rsidRPr="00580896">
        <w:rPr>
          <w:rFonts w:ascii="Times New Roman" w:hAnsi="Times New Roman" w:cs="Times New Roman"/>
          <w:sz w:val="24"/>
          <w:szCs w:val="24"/>
        </w:rPr>
        <w:t xml:space="preserve"> la più comunemente utilizzata, è specifica, ma non sensibile (40%-50%) dovendo visualizzare un alone ipoecogeno &lt;1mm (halo sign). La </w:t>
      </w:r>
      <w:r w:rsidRPr="00580896">
        <w:rPr>
          <w:rFonts w:ascii="Times New Roman" w:hAnsi="Times New Roman" w:cs="Times New Roman"/>
          <w:sz w:val="24"/>
          <w:szCs w:val="24"/>
        </w:rPr>
        <w:lastRenderedPageBreak/>
        <w:t>tecnica risulta più utile nel sospetto della forma di AGC cranica mentre di difficile utilizzo nella valutazione dell’aorta toracica data la sua posizione anatomica</w:t>
      </w:r>
      <w:r w:rsidR="00FB4D32" w:rsidRPr="00580896">
        <w:rPr>
          <w:rFonts w:ascii="Times New Roman" w:hAnsi="Times New Roman" w:cs="Times New Roman"/>
          <w:sz w:val="24"/>
          <w:szCs w:val="24"/>
        </w:rPr>
        <w:fldChar w:fldCharType="begin" w:fldLock="1"/>
      </w:r>
      <w:r w:rsidR="00FB4D32" w:rsidRPr="00580896">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B4D32" w:rsidRPr="00580896">
        <w:rPr>
          <w:rFonts w:ascii="Times New Roman" w:hAnsi="Times New Roman" w:cs="Times New Roman"/>
          <w:sz w:val="24"/>
          <w:szCs w:val="24"/>
        </w:rPr>
        <w:fldChar w:fldCharType="separate"/>
      </w:r>
      <w:r w:rsidR="00FB4D32" w:rsidRPr="00580896">
        <w:rPr>
          <w:rFonts w:ascii="Times New Roman" w:hAnsi="Times New Roman" w:cs="Times New Roman"/>
          <w:noProof/>
          <w:sz w:val="24"/>
          <w:szCs w:val="24"/>
          <w:vertAlign w:val="superscript"/>
        </w:rPr>
        <w:t>1</w:t>
      </w:r>
      <w:r w:rsidR="00FB4D32" w:rsidRPr="00580896">
        <w:rPr>
          <w:rFonts w:ascii="Times New Roman" w:hAnsi="Times New Roman" w:cs="Times New Roman"/>
          <w:sz w:val="24"/>
          <w:szCs w:val="24"/>
        </w:rPr>
        <w:fldChar w:fldCharType="end"/>
      </w:r>
      <w:r w:rsidRPr="00580896">
        <w:rPr>
          <w:rFonts w:ascii="Times New Roman" w:hAnsi="Times New Roman" w:cs="Times New Roman"/>
          <w:sz w:val="24"/>
          <w:szCs w:val="24"/>
        </w:rPr>
        <w:t xml:space="preserve">. </w:t>
      </w:r>
    </w:p>
    <w:p w14:paraId="2CD64E0A" w14:textId="77777777" w:rsidR="000F4EC7" w:rsidRPr="00580896" w:rsidRDefault="000F4EC7" w:rsidP="004258B6">
      <w:pPr>
        <w:spacing w:line="480" w:lineRule="auto"/>
        <w:rPr>
          <w:rFonts w:ascii="Times New Roman" w:hAnsi="Times New Roman" w:cs="Times New Roman"/>
          <w:sz w:val="24"/>
          <w:szCs w:val="24"/>
        </w:rPr>
      </w:pPr>
      <w:r w:rsidRPr="00580896">
        <w:rPr>
          <w:rFonts w:ascii="Times New Roman" w:hAnsi="Times New Roman" w:cs="Times New Roman"/>
          <w:sz w:val="24"/>
          <w:szCs w:val="24"/>
        </w:rPr>
        <w:t xml:space="preserve">Risulta comunque una tecnica di fondamentale importanza nella conferma di diagnosi di AGC in soggetti con sospetto clinico di patologia, come dimostrato in uno studio </w:t>
      </w:r>
      <w:r w:rsidR="00FA14BD" w:rsidRPr="00580896">
        <w:rPr>
          <w:rFonts w:ascii="Times New Roman" w:hAnsi="Times New Roman" w:cs="Times New Roman"/>
          <w:sz w:val="24"/>
          <w:szCs w:val="24"/>
        </w:rPr>
        <w:t xml:space="preserve">condotto </w:t>
      </w:r>
      <w:r w:rsidRPr="00580896">
        <w:rPr>
          <w:rFonts w:ascii="Times New Roman" w:hAnsi="Times New Roman" w:cs="Times New Roman"/>
          <w:sz w:val="24"/>
          <w:szCs w:val="24"/>
        </w:rPr>
        <w:t xml:space="preserve">da Zou et al </w:t>
      </w:r>
      <w:r w:rsidR="00FA14BD" w:rsidRPr="00580896">
        <w:rPr>
          <w:rFonts w:ascii="Times New Roman" w:hAnsi="Times New Roman" w:cs="Times New Roman"/>
          <w:sz w:val="24"/>
          <w:szCs w:val="24"/>
        </w:rPr>
        <w:t>d</w:t>
      </w:r>
      <w:r w:rsidRPr="00580896">
        <w:rPr>
          <w:rFonts w:ascii="Times New Roman" w:hAnsi="Times New Roman" w:cs="Times New Roman"/>
          <w:sz w:val="24"/>
          <w:szCs w:val="24"/>
        </w:rPr>
        <w:t>el 2019.</w:t>
      </w:r>
    </w:p>
    <w:p w14:paraId="347CA9EE" w14:textId="77777777" w:rsidR="008B18BE" w:rsidRPr="00580896" w:rsidRDefault="00032C31" w:rsidP="00C25BDF">
      <w:pPr>
        <w:autoSpaceDE w:val="0"/>
        <w:autoSpaceDN w:val="0"/>
        <w:adjustRightInd w:val="0"/>
        <w:spacing w:after="0" w:line="480" w:lineRule="auto"/>
        <w:rPr>
          <w:rFonts w:ascii="Times New Roman" w:hAnsi="Times New Roman" w:cs="Times New Roman"/>
          <w:sz w:val="24"/>
          <w:szCs w:val="24"/>
        </w:rPr>
      </w:pPr>
      <w:r w:rsidRPr="00580896">
        <w:rPr>
          <w:rFonts w:ascii="Times New Roman" w:hAnsi="Times New Roman" w:cs="Times New Roman"/>
          <w:sz w:val="24"/>
          <w:szCs w:val="24"/>
        </w:rPr>
        <w:t xml:space="preserve">Essi </w:t>
      </w:r>
      <w:r w:rsidR="000F4EC7" w:rsidRPr="00580896">
        <w:rPr>
          <w:rFonts w:ascii="Times New Roman" w:hAnsi="Times New Roman" w:cs="Times New Roman"/>
          <w:sz w:val="24"/>
          <w:szCs w:val="24"/>
        </w:rPr>
        <w:t xml:space="preserve">hanno </w:t>
      </w:r>
      <w:r w:rsidRPr="00580896">
        <w:rPr>
          <w:rFonts w:ascii="Times New Roman" w:hAnsi="Times New Roman" w:cs="Times New Roman"/>
          <w:sz w:val="24"/>
          <w:szCs w:val="24"/>
        </w:rPr>
        <w:t>di</w:t>
      </w:r>
      <w:r w:rsidR="000F4EC7" w:rsidRPr="00580896">
        <w:rPr>
          <w:rFonts w:ascii="Times New Roman" w:hAnsi="Times New Roman" w:cs="Times New Roman"/>
          <w:sz w:val="24"/>
          <w:szCs w:val="24"/>
        </w:rPr>
        <w:t xml:space="preserve">mostrato </w:t>
      </w:r>
      <w:r w:rsidR="00FA14BD" w:rsidRPr="00580896">
        <w:rPr>
          <w:rFonts w:ascii="Times New Roman" w:hAnsi="Times New Roman" w:cs="Times New Roman"/>
          <w:sz w:val="24"/>
          <w:szCs w:val="24"/>
        </w:rPr>
        <w:t xml:space="preserve">infatti </w:t>
      </w:r>
      <w:r w:rsidR="000F4EC7" w:rsidRPr="00580896">
        <w:rPr>
          <w:rFonts w:ascii="Times New Roman" w:hAnsi="Times New Roman" w:cs="Times New Roman"/>
          <w:sz w:val="24"/>
          <w:szCs w:val="24"/>
        </w:rPr>
        <w:t>come il numero di falsi positivi sia nettamente inferiore in soggetti che</w:t>
      </w:r>
      <w:r w:rsidRPr="00580896">
        <w:rPr>
          <w:rFonts w:ascii="Times New Roman" w:hAnsi="Times New Roman" w:cs="Times New Roman"/>
          <w:sz w:val="24"/>
          <w:szCs w:val="24"/>
        </w:rPr>
        <w:t>,</w:t>
      </w:r>
      <w:r w:rsidR="000F4EC7" w:rsidRPr="00580896">
        <w:rPr>
          <w:rFonts w:ascii="Times New Roman" w:hAnsi="Times New Roman" w:cs="Times New Roman"/>
          <w:sz w:val="24"/>
          <w:szCs w:val="24"/>
        </w:rPr>
        <w:t xml:space="preserve"> dopo un accurata visita clinica</w:t>
      </w:r>
      <w:r w:rsidRPr="00580896">
        <w:rPr>
          <w:rFonts w:ascii="Times New Roman" w:hAnsi="Times New Roman" w:cs="Times New Roman"/>
          <w:sz w:val="24"/>
          <w:szCs w:val="24"/>
        </w:rPr>
        <w:t>,</w:t>
      </w:r>
      <w:r w:rsidR="000F4EC7" w:rsidRPr="00580896">
        <w:rPr>
          <w:rFonts w:ascii="Times New Roman" w:hAnsi="Times New Roman" w:cs="Times New Roman"/>
          <w:sz w:val="24"/>
          <w:szCs w:val="24"/>
        </w:rPr>
        <w:t xml:space="preserve"> siano stati sottoposti a esame ecografico o biopsia e comparabile fra i due gruppi </w:t>
      </w:r>
      <w:r w:rsidR="00FA14BD" w:rsidRPr="00580896">
        <w:rPr>
          <w:rFonts w:ascii="Times New Roman" w:hAnsi="Times New Roman" w:cs="Times New Roman"/>
          <w:sz w:val="24"/>
          <w:szCs w:val="24"/>
        </w:rPr>
        <w:t>(ridotto del 91% nel primo caso e 86% nel secondo)</w:t>
      </w:r>
      <w:r w:rsidRPr="00580896">
        <w:rPr>
          <w:rFonts w:ascii="Times New Roman" w:hAnsi="Times New Roman" w:cs="Times New Roman"/>
          <w:sz w:val="24"/>
          <w:szCs w:val="24"/>
        </w:rPr>
        <w:t>. L</w:t>
      </w:r>
      <w:r w:rsidR="00FA14BD" w:rsidRPr="00580896">
        <w:rPr>
          <w:rFonts w:ascii="Times New Roman" w:hAnsi="Times New Roman" w:cs="Times New Roman"/>
          <w:sz w:val="24"/>
          <w:szCs w:val="24"/>
        </w:rPr>
        <w:t>’utilizzo dell’ecografia risult</w:t>
      </w:r>
      <w:r w:rsidRPr="00580896">
        <w:rPr>
          <w:rFonts w:ascii="Times New Roman" w:hAnsi="Times New Roman" w:cs="Times New Roman"/>
          <w:sz w:val="24"/>
          <w:szCs w:val="24"/>
        </w:rPr>
        <w:t>a</w:t>
      </w:r>
      <w:r w:rsidR="00FA14BD" w:rsidRPr="00580896">
        <w:rPr>
          <w:rFonts w:ascii="Times New Roman" w:hAnsi="Times New Roman" w:cs="Times New Roman"/>
          <w:sz w:val="24"/>
          <w:szCs w:val="24"/>
        </w:rPr>
        <w:t xml:space="preserve"> più economico, rispetto all’esecuzione di una biopsia o all’ utilizzo di RM (p&lt;0,0001). Non sono state individuate differenze per quanto riguarda l’individuazione di veri negativi fra l’utilizzo dell’</w:t>
      </w:r>
      <w:r w:rsidRPr="00580896">
        <w:rPr>
          <w:rFonts w:ascii="Times New Roman" w:hAnsi="Times New Roman" w:cs="Times New Roman"/>
          <w:sz w:val="24"/>
          <w:szCs w:val="24"/>
        </w:rPr>
        <w:t>e</w:t>
      </w:r>
      <w:r w:rsidR="00FA14BD" w:rsidRPr="00580896">
        <w:rPr>
          <w:rFonts w:ascii="Times New Roman" w:hAnsi="Times New Roman" w:cs="Times New Roman"/>
          <w:sz w:val="24"/>
          <w:szCs w:val="24"/>
        </w:rPr>
        <w:t xml:space="preserve">cografia o della PET </w:t>
      </w:r>
      <w:r w:rsidR="00405862" w:rsidRPr="00580896">
        <w:rPr>
          <w:rFonts w:ascii="Times New Roman" w:hAnsi="Times New Roman" w:cs="Times New Roman"/>
          <w:sz w:val="24"/>
          <w:szCs w:val="24"/>
        </w:rPr>
        <w:fldChar w:fldCharType="begin" w:fldLock="1"/>
      </w:r>
      <w:r w:rsidR="00F66ECC" w:rsidRPr="00580896">
        <w:rPr>
          <w:rFonts w:ascii="Times New Roman" w:hAnsi="Times New Roman" w:cs="Times New Roman"/>
          <w:sz w:val="24"/>
          <w:szCs w:val="24"/>
        </w:rPr>
        <w:instrText>ADDIN CSL_CITATION {"citationItems":[{"id":"ITEM-1","itemData":{"author":[{"dropping-particle":"","family":"Zou","given":"Quan","non-dropping-particle":"","parse-names":false,"suffix":""},{"dropping-particle":"","family":"Ma","given":"Sumei","non-dropping-particle":"","parse-names":false,"suffix":""},{"dropping-particle":"","family":"Zhou","given":"Xinghu","non-dropping-particle":"","parse-names":false,"suffix":""}],"id":"ITEM-1","issued":{"date-parts":[["2019"]]},"page":"1-12","publisher":"BMC Medical Imaging","title":"Ultrasound versus temporal artery biopsy in patients with Giant cell arteritis : a prospective cohort study","type":"article-journal"},"uris":["http://www.mendeley.com/documents/?uuid=e5d8bea3-107f-4b69-9693-84c64c7ad8fd"]}],"mendeley":{"formattedCitation":"&lt;sup&gt;30&lt;/sup&gt;","plainTextFormattedCitation":"30","previouslyFormattedCitation":"&lt;sup&gt;30&lt;/sup&gt;"},"properties":{"noteIndex":0},"schema":"https://github.com/citation-style-language/schema/raw/master/csl-citation.json"}</w:instrText>
      </w:r>
      <w:r w:rsidR="00405862" w:rsidRPr="00580896">
        <w:rPr>
          <w:rFonts w:ascii="Times New Roman" w:hAnsi="Times New Roman" w:cs="Times New Roman"/>
          <w:sz w:val="24"/>
          <w:szCs w:val="24"/>
        </w:rPr>
        <w:fldChar w:fldCharType="separate"/>
      </w:r>
      <w:r w:rsidR="00C41B3B" w:rsidRPr="00580896">
        <w:rPr>
          <w:rFonts w:ascii="Times New Roman" w:hAnsi="Times New Roman" w:cs="Times New Roman"/>
          <w:noProof/>
          <w:sz w:val="24"/>
          <w:szCs w:val="24"/>
          <w:vertAlign w:val="superscript"/>
        </w:rPr>
        <w:t>30</w:t>
      </w:r>
      <w:r w:rsidR="00405862" w:rsidRPr="00580896">
        <w:rPr>
          <w:rFonts w:ascii="Times New Roman" w:hAnsi="Times New Roman" w:cs="Times New Roman"/>
          <w:sz w:val="24"/>
          <w:szCs w:val="24"/>
        </w:rPr>
        <w:fldChar w:fldCharType="end"/>
      </w:r>
      <w:r w:rsidR="00FA14BD" w:rsidRPr="00580896">
        <w:rPr>
          <w:rFonts w:ascii="Times New Roman" w:hAnsi="Times New Roman" w:cs="Times New Roman"/>
          <w:sz w:val="24"/>
          <w:szCs w:val="24"/>
        </w:rPr>
        <w:t>.</w:t>
      </w:r>
    </w:p>
    <w:p w14:paraId="2D8FD033" w14:textId="77777777" w:rsidR="00B71586" w:rsidRDefault="008B18BE" w:rsidP="009464C3">
      <w:pPr>
        <w:spacing w:line="360" w:lineRule="auto"/>
        <w:rPr>
          <w:rFonts w:ascii="Times New Roman" w:hAnsi="Times New Roman" w:cs="Times New Roman"/>
        </w:rPr>
      </w:pPr>
      <w:r>
        <w:rPr>
          <w:rFonts w:ascii="Times New Roman" w:hAnsi="Times New Roman" w:cs="Times New Roman"/>
          <w:noProof/>
          <w:color w:val="FF0000"/>
          <w:lang w:eastAsia="it-IT"/>
        </w:rPr>
        <w:drawing>
          <wp:inline distT="0" distB="0" distL="0" distR="0" wp14:anchorId="7A9366A3" wp14:editId="03D56BE9">
            <wp:extent cx="4754880" cy="234029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LTRAS~1.JPG"/>
                    <pic:cNvPicPr/>
                  </pic:nvPicPr>
                  <pic:blipFill>
                    <a:blip r:embed="rId12">
                      <a:extLst>
                        <a:ext uri="{28A0092B-C50C-407E-A947-70E740481C1C}">
                          <a14:useLocalDpi xmlns:a14="http://schemas.microsoft.com/office/drawing/2010/main" val="0"/>
                        </a:ext>
                      </a:extLst>
                    </a:blip>
                    <a:stretch>
                      <a:fillRect/>
                    </a:stretch>
                  </pic:blipFill>
                  <pic:spPr>
                    <a:xfrm>
                      <a:off x="0" y="0"/>
                      <a:ext cx="4785822" cy="2355522"/>
                    </a:xfrm>
                    <a:prstGeom prst="rect">
                      <a:avLst/>
                    </a:prstGeom>
                  </pic:spPr>
                </pic:pic>
              </a:graphicData>
            </a:graphic>
          </wp:inline>
        </w:drawing>
      </w:r>
    </w:p>
    <w:p w14:paraId="01330BF9" w14:textId="77777777" w:rsidR="008B18BE" w:rsidRPr="00430492" w:rsidRDefault="008B18BE" w:rsidP="001C0E1A">
      <w:pPr>
        <w:spacing w:line="240" w:lineRule="auto"/>
        <w:rPr>
          <w:rFonts w:ascii="Times New Roman" w:hAnsi="Times New Roman" w:cs="Times New Roman"/>
          <w:sz w:val="20"/>
          <w:szCs w:val="20"/>
        </w:rPr>
      </w:pPr>
      <w:r w:rsidRPr="00430492">
        <w:rPr>
          <w:rFonts w:ascii="Times New Roman" w:hAnsi="Times New Roman" w:cs="Times New Roman"/>
          <w:b/>
          <w:sz w:val="20"/>
          <w:szCs w:val="20"/>
        </w:rPr>
        <w:t xml:space="preserve">Figura </w:t>
      </w:r>
      <w:r w:rsidR="00607F62" w:rsidRPr="00430492">
        <w:rPr>
          <w:rFonts w:ascii="Times New Roman" w:hAnsi="Times New Roman" w:cs="Times New Roman"/>
          <w:b/>
          <w:sz w:val="20"/>
          <w:szCs w:val="20"/>
        </w:rPr>
        <w:t>3</w:t>
      </w:r>
      <w:r w:rsidRPr="00430492">
        <w:rPr>
          <w:rFonts w:ascii="Times New Roman" w:hAnsi="Times New Roman" w:cs="Times New Roman"/>
          <w:b/>
          <w:sz w:val="20"/>
          <w:szCs w:val="20"/>
        </w:rPr>
        <w:t>.</w:t>
      </w:r>
      <w:r w:rsidRPr="00430492">
        <w:rPr>
          <w:rFonts w:ascii="Times New Roman" w:hAnsi="Times New Roman" w:cs="Times New Roman"/>
          <w:sz w:val="20"/>
          <w:szCs w:val="20"/>
        </w:rPr>
        <w:t xml:space="preserve"> Immagine ecografica dell’alone ipoecogeno attorno alla parete dell’arteria temporale</w:t>
      </w:r>
      <w:r w:rsidR="00126523" w:rsidRPr="00430492">
        <w:rPr>
          <w:rFonts w:ascii="Times New Roman" w:hAnsi="Times New Roman" w:cs="Times New Roman"/>
          <w:sz w:val="20"/>
          <w:szCs w:val="20"/>
        </w:rPr>
        <w:t xml:space="preserve"> </w:t>
      </w:r>
      <w:r w:rsidR="00405862" w:rsidRPr="00430492">
        <w:rPr>
          <w:rFonts w:ascii="Times New Roman" w:hAnsi="Times New Roman" w:cs="Times New Roman"/>
          <w:sz w:val="20"/>
          <w:szCs w:val="20"/>
        </w:rPr>
        <w:fldChar w:fldCharType="begin" w:fldLock="1"/>
      </w:r>
      <w:r w:rsidR="00F66ECC" w:rsidRPr="00430492">
        <w:rPr>
          <w:rFonts w:ascii="Times New Roman" w:hAnsi="Times New Roman" w:cs="Times New Roman"/>
          <w:sz w:val="20"/>
          <w:szCs w:val="20"/>
        </w:rPr>
        <w:instrText>ADDIN CSL_CITATION {"citationItems":[{"id":"ITEM-1","itemData":{"author":[{"dropping-particle":"","family":"Zou","given":"Quan","non-dropping-particle":"","parse-names":false,"suffix":""},{"dropping-particle":"","family":"Ma","given":"Sumei","non-dropping-particle":"","parse-names":false,"suffix":""},{"dropping-particle":"","family":"Zhou","given":"Xinghu","non-dropping-particle":"","parse-names":false,"suffix":""}],"id":"ITEM-1","issued":{"date-parts":[["2019"]]},"page":"1-12","publisher":"BMC Medical Imaging","title":"Ultrasound versus temporal artery biopsy in patients with Giant cell arteritis : a prospective cohort study","type":"article-journal"},"uris":["http://www.mendeley.com/documents/?uuid=e5d8bea3-107f-4b69-9693-84c64c7ad8fd"]}],"mendeley":{"formattedCitation":"&lt;sup&gt;30&lt;/sup&gt;","plainTextFormattedCitation":"30","previouslyFormattedCitation":"&lt;sup&gt;30&lt;/sup&gt;"},"properties":{"noteIndex":0},"schema":"https://github.com/citation-style-language/schema/raw/master/csl-citation.json"}</w:instrText>
      </w:r>
      <w:r w:rsidR="00405862" w:rsidRPr="00430492">
        <w:rPr>
          <w:rFonts w:ascii="Times New Roman" w:hAnsi="Times New Roman" w:cs="Times New Roman"/>
          <w:sz w:val="20"/>
          <w:szCs w:val="20"/>
        </w:rPr>
        <w:fldChar w:fldCharType="separate"/>
      </w:r>
      <w:r w:rsidR="00C41B3B" w:rsidRPr="00430492">
        <w:rPr>
          <w:rFonts w:ascii="Times New Roman" w:hAnsi="Times New Roman" w:cs="Times New Roman"/>
          <w:noProof/>
          <w:sz w:val="20"/>
          <w:szCs w:val="20"/>
          <w:vertAlign w:val="superscript"/>
        </w:rPr>
        <w:t>30</w:t>
      </w:r>
      <w:r w:rsidR="00405862" w:rsidRPr="00430492">
        <w:rPr>
          <w:rFonts w:ascii="Times New Roman" w:hAnsi="Times New Roman" w:cs="Times New Roman"/>
          <w:sz w:val="20"/>
          <w:szCs w:val="20"/>
        </w:rPr>
        <w:fldChar w:fldCharType="end"/>
      </w:r>
      <w:r w:rsidR="00126523" w:rsidRPr="00430492">
        <w:rPr>
          <w:rFonts w:ascii="Times New Roman" w:hAnsi="Times New Roman" w:cs="Times New Roman"/>
          <w:sz w:val="20"/>
          <w:szCs w:val="20"/>
        </w:rPr>
        <w:t>.</w:t>
      </w:r>
    </w:p>
    <w:p w14:paraId="1E5F01F6" w14:textId="77777777" w:rsidR="00E143FF" w:rsidRPr="00430492" w:rsidRDefault="00E143FF" w:rsidP="001C0E1A">
      <w:pPr>
        <w:pStyle w:val="Paragrafoelenco"/>
        <w:numPr>
          <w:ilvl w:val="0"/>
          <w:numId w:val="47"/>
        </w:numPr>
        <w:spacing w:line="240" w:lineRule="auto"/>
        <w:rPr>
          <w:rFonts w:ascii="Times New Roman" w:hAnsi="Times New Roman"/>
          <w:sz w:val="20"/>
          <w:szCs w:val="20"/>
        </w:rPr>
      </w:pPr>
      <w:r w:rsidRPr="00430492">
        <w:rPr>
          <w:rFonts w:ascii="Times New Roman" w:hAnsi="Times New Roman"/>
          <w:sz w:val="20"/>
          <w:szCs w:val="20"/>
        </w:rPr>
        <w:t>Visione longitudinale in immagine B-mode dell’arteria temporale con “halo sign”</w:t>
      </w:r>
    </w:p>
    <w:p w14:paraId="3DDAFE2E" w14:textId="77777777" w:rsidR="00E143FF" w:rsidRPr="00430492" w:rsidRDefault="00E143FF" w:rsidP="001C0E1A">
      <w:pPr>
        <w:pStyle w:val="Paragrafoelenco"/>
        <w:numPr>
          <w:ilvl w:val="0"/>
          <w:numId w:val="47"/>
        </w:numPr>
        <w:spacing w:line="240" w:lineRule="auto"/>
        <w:rPr>
          <w:rFonts w:ascii="Times New Roman" w:hAnsi="Times New Roman"/>
          <w:sz w:val="20"/>
          <w:szCs w:val="20"/>
        </w:rPr>
      </w:pPr>
      <w:r w:rsidRPr="00430492">
        <w:rPr>
          <w:rFonts w:ascii="Times New Roman" w:hAnsi="Times New Roman"/>
          <w:sz w:val="20"/>
          <w:szCs w:val="20"/>
        </w:rPr>
        <w:t xml:space="preserve">Rappresentazione grafica dell’arteria temporale con “halo sign” </w:t>
      </w:r>
    </w:p>
    <w:p w14:paraId="1555F874" w14:textId="77777777" w:rsidR="007103DE" w:rsidRDefault="007103DE" w:rsidP="001C0E1A">
      <w:pPr>
        <w:spacing w:line="480" w:lineRule="auto"/>
        <w:rPr>
          <w:rFonts w:ascii="Times New Roman" w:hAnsi="Times New Roman"/>
        </w:rPr>
      </w:pPr>
    </w:p>
    <w:p w14:paraId="1E292BBF" w14:textId="77777777" w:rsidR="00AB2AEB" w:rsidRPr="00580896" w:rsidRDefault="007E2BB8" w:rsidP="001C0E1A">
      <w:pPr>
        <w:spacing w:line="480" w:lineRule="auto"/>
        <w:rPr>
          <w:rFonts w:ascii="Times New Roman" w:hAnsi="Times New Roman"/>
          <w:sz w:val="24"/>
          <w:szCs w:val="24"/>
        </w:rPr>
      </w:pPr>
      <w:r w:rsidRPr="00580896">
        <w:rPr>
          <w:rFonts w:ascii="Times New Roman" w:hAnsi="Times New Roman"/>
          <w:sz w:val="24"/>
          <w:szCs w:val="24"/>
        </w:rPr>
        <w:lastRenderedPageBreak/>
        <w:t>Inoltre l’</w:t>
      </w:r>
      <w:r w:rsidR="007103DE" w:rsidRPr="00580896">
        <w:rPr>
          <w:rFonts w:ascii="Times New Roman" w:hAnsi="Times New Roman"/>
          <w:sz w:val="24"/>
          <w:szCs w:val="24"/>
        </w:rPr>
        <w:t>e</w:t>
      </w:r>
      <w:r w:rsidR="00AB2AEB" w:rsidRPr="00580896">
        <w:rPr>
          <w:rFonts w:ascii="Times New Roman" w:hAnsi="Times New Roman"/>
          <w:sz w:val="24"/>
          <w:szCs w:val="24"/>
        </w:rPr>
        <w:t>cografia con tecnica color duplex</w:t>
      </w:r>
      <w:r w:rsidRPr="00580896">
        <w:rPr>
          <w:rFonts w:ascii="Times New Roman" w:hAnsi="Times New Roman"/>
          <w:sz w:val="24"/>
          <w:szCs w:val="24"/>
        </w:rPr>
        <w:t>, sempre in veste di esame economico, facile da eseguire e non invasivo, può essere usato prima dell’esecuzione della biopsia per individuare la zona in cui eseguirla, o, nel caso in cui l’esame ecografico mostri un “halo sign” bilaterale, p</w:t>
      </w:r>
      <w:r w:rsidR="00AB2AEB" w:rsidRPr="00580896">
        <w:rPr>
          <w:rFonts w:ascii="Times New Roman" w:hAnsi="Times New Roman"/>
          <w:sz w:val="24"/>
          <w:szCs w:val="24"/>
        </w:rPr>
        <w:t>uò</w:t>
      </w:r>
      <w:r w:rsidRPr="00580896">
        <w:rPr>
          <w:rFonts w:ascii="Times New Roman" w:hAnsi="Times New Roman"/>
          <w:sz w:val="24"/>
          <w:szCs w:val="24"/>
        </w:rPr>
        <w:t xml:space="preserve"> </w:t>
      </w:r>
      <w:r w:rsidR="00AB2AEB" w:rsidRPr="00580896">
        <w:rPr>
          <w:rFonts w:ascii="Times New Roman" w:hAnsi="Times New Roman"/>
          <w:sz w:val="24"/>
          <w:szCs w:val="24"/>
        </w:rPr>
        <w:t xml:space="preserve">addirittura evitarne l’esecuzione </w:t>
      </w:r>
      <w:r w:rsidR="00405862" w:rsidRPr="00580896">
        <w:rPr>
          <w:rFonts w:ascii="Times New Roman" w:hAnsi="Times New Roman"/>
          <w:sz w:val="24"/>
          <w:szCs w:val="24"/>
        </w:rPr>
        <w:fldChar w:fldCharType="begin" w:fldLock="1"/>
      </w:r>
      <w:r w:rsidR="00F66ECC" w:rsidRPr="00580896">
        <w:rPr>
          <w:rFonts w:ascii="Times New Roman" w:hAnsi="Times New Roman"/>
          <w:sz w:val="24"/>
          <w:szCs w:val="24"/>
        </w:rPr>
        <w:instrText>ADDIN CSL_CITATION {"citationItems":[{"id":"ITEM-1","itemData":{"DOI":"10.1186/ar2003","author":[{"dropping-particle":"","family":"Karahaliou","given":"Maria","non-dropping-particle":"","parse-names":false,"suffix":""},{"dropping-particle":"","family":"Vaiopoulos","given":"George","non-dropping-particle":"","parse-names":false,"suffix":""},{"dropping-particle":"","family":"Papaspyrou","given":"Spiros","non-dropping-particle":"","parse-names":false,"suffix":""},{"dropping-particle":"","family":"Kanakis","given":"Meletios A","non-dropping-particle":"","parse-names":false,"suffix":""},{"dropping-particle":"","family":"Revenas","given":"Konstantinos","non-dropping-particle":"","parse-names":false,"suffix":""},{"dropping-particle":"","family":"Sfikakis","given":"Petros P","non-dropping-particle":"","parse-names":false,"suffix":""}],"id":"ITEM-1","issue":"4","issued":{"date-parts":[["2006"]]},"page":"1-8","title":"Research article Colour duplex sonography of temporal arteries before decision for biopsy : a prospective study in 55 patients with suspected giant cell arteritis","type":"article-journal","volume":"8"},"uris":["http://www.mendeley.com/documents/?uuid=0e72be86-1317-4e04-8cbd-553aeb58c686"]}],"mendeley":{"formattedCitation":"&lt;sup&gt;32&lt;/sup&gt;","plainTextFormattedCitation":"32","previouslyFormattedCitation":"&lt;sup&gt;32&lt;/sup&gt;"},"properties":{"noteIndex":0},"schema":"https://github.com/citation-style-language/schema/raw/master/csl-citation.json"}</w:instrText>
      </w:r>
      <w:r w:rsidR="00405862" w:rsidRPr="00580896">
        <w:rPr>
          <w:rFonts w:ascii="Times New Roman" w:hAnsi="Times New Roman"/>
          <w:sz w:val="24"/>
          <w:szCs w:val="24"/>
        </w:rPr>
        <w:fldChar w:fldCharType="separate"/>
      </w:r>
      <w:r w:rsidR="00C41B3B" w:rsidRPr="00580896">
        <w:rPr>
          <w:rFonts w:ascii="Times New Roman" w:hAnsi="Times New Roman"/>
          <w:noProof/>
          <w:sz w:val="24"/>
          <w:szCs w:val="24"/>
          <w:vertAlign w:val="superscript"/>
        </w:rPr>
        <w:t>32</w:t>
      </w:r>
      <w:r w:rsidR="00405862" w:rsidRPr="00580896">
        <w:rPr>
          <w:rFonts w:ascii="Times New Roman" w:hAnsi="Times New Roman"/>
          <w:sz w:val="24"/>
          <w:szCs w:val="24"/>
        </w:rPr>
        <w:fldChar w:fldCharType="end"/>
      </w:r>
      <w:r w:rsidR="00AB2AEB" w:rsidRPr="00580896">
        <w:rPr>
          <w:rFonts w:ascii="Times New Roman" w:hAnsi="Times New Roman"/>
          <w:sz w:val="24"/>
          <w:szCs w:val="24"/>
        </w:rPr>
        <w:t>.</w:t>
      </w:r>
    </w:p>
    <w:p w14:paraId="2C7FFB4E" w14:textId="77777777" w:rsidR="00236034" w:rsidRDefault="00236034" w:rsidP="00236034">
      <w:pPr>
        <w:spacing w:line="240" w:lineRule="auto"/>
        <w:rPr>
          <w:rFonts w:ascii="Times New Roman" w:hAnsi="Times New Roman"/>
          <w:color w:val="FF0000"/>
        </w:rPr>
      </w:pPr>
      <w:r>
        <w:rPr>
          <w:rFonts w:ascii="Times New Roman" w:hAnsi="Times New Roman"/>
          <w:noProof/>
          <w:color w:val="FF0000"/>
          <w:lang w:eastAsia="it-IT"/>
        </w:rPr>
        <w:drawing>
          <wp:anchor distT="0" distB="0" distL="114300" distR="114300" simplePos="0" relativeHeight="251657216" behindDoc="0" locked="0" layoutInCell="1" allowOverlap="1" wp14:anchorId="2D998451" wp14:editId="7575D384">
            <wp:simplePos x="0" y="0"/>
            <wp:positionH relativeFrom="column">
              <wp:posOffset>2540</wp:posOffset>
            </wp:positionH>
            <wp:positionV relativeFrom="paragraph">
              <wp:posOffset>118110</wp:posOffset>
            </wp:positionV>
            <wp:extent cx="2689860" cy="3698557"/>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lo sign in colour duplex sonography examination in a patient with giant cell arteritis. Hypoechoic area around the temporal artery trunk in longitudinal (upper panel) and transverse (lower panel) views..jpg"/>
                    <pic:cNvPicPr/>
                  </pic:nvPicPr>
                  <pic:blipFill>
                    <a:blip r:embed="rId13">
                      <a:extLst>
                        <a:ext uri="{28A0092B-C50C-407E-A947-70E740481C1C}">
                          <a14:useLocalDpi xmlns:a14="http://schemas.microsoft.com/office/drawing/2010/main" val="0"/>
                        </a:ext>
                      </a:extLst>
                    </a:blip>
                    <a:stretch>
                      <a:fillRect/>
                    </a:stretch>
                  </pic:blipFill>
                  <pic:spPr>
                    <a:xfrm>
                      <a:off x="0" y="0"/>
                      <a:ext cx="2689860" cy="3698557"/>
                    </a:xfrm>
                    <a:prstGeom prst="rect">
                      <a:avLst/>
                    </a:prstGeom>
                  </pic:spPr>
                </pic:pic>
              </a:graphicData>
            </a:graphic>
          </wp:anchor>
        </w:drawing>
      </w:r>
      <w:r w:rsidR="007E2BB8">
        <w:rPr>
          <w:rFonts w:ascii="Times New Roman" w:hAnsi="Times New Roman"/>
          <w:color w:val="FF0000"/>
        </w:rPr>
        <w:t xml:space="preserve"> </w:t>
      </w:r>
    </w:p>
    <w:p w14:paraId="44D8ACA9" w14:textId="77777777" w:rsidR="007E2BB8" w:rsidRDefault="007E2BB8" w:rsidP="007E2BB8">
      <w:pPr>
        <w:spacing w:line="360" w:lineRule="auto"/>
        <w:rPr>
          <w:rFonts w:ascii="Times New Roman" w:hAnsi="Times New Roman"/>
          <w:color w:val="FF0000"/>
        </w:rPr>
      </w:pPr>
    </w:p>
    <w:p w14:paraId="4764BA9E" w14:textId="77777777" w:rsidR="00236034" w:rsidRDefault="00236034" w:rsidP="007E2BB8">
      <w:pPr>
        <w:spacing w:line="360" w:lineRule="auto"/>
        <w:rPr>
          <w:rFonts w:ascii="Times New Roman" w:hAnsi="Times New Roman"/>
          <w:color w:val="FF0000"/>
        </w:rPr>
      </w:pPr>
    </w:p>
    <w:p w14:paraId="7E581676" w14:textId="77777777" w:rsidR="00236034" w:rsidRDefault="00236034" w:rsidP="007E2BB8">
      <w:pPr>
        <w:spacing w:line="360" w:lineRule="auto"/>
        <w:rPr>
          <w:rFonts w:ascii="Times New Roman" w:hAnsi="Times New Roman"/>
          <w:color w:val="FF0000"/>
        </w:rPr>
      </w:pPr>
    </w:p>
    <w:p w14:paraId="1462AF9F" w14:textId="77777777" w:rsidR="00236034" w:rsidRDefault="00236034" w:rsidP="007E2BB8">
      <w:pPr>
        <w:spacing w:line="360" w:lineRule="auto"/>
        <w:rPr>
          <w:rFonts w:ascii="Times New Roman" w:hAnsi="Times New Roman"/>
          <w:color w:val="FF0000"/>
        </w:rPr>
      </w:pPr>
    </w:p>
    <w:p w14:paraId="28F818E4" w14:textId="77777777" w:rsidR="00236034" w:rsidRDefault="00236034" w:rsidP="007E2BB8">
      <w:pPr>
        <w:spacing w:line="360" w:lineRule="auto"/>
        <w:rPr>
          <w:rFonts w:ascii="Times New Roman" w:hAnsi="Times New Roman"/>
          <w:color w:val="FF0000"/>
        </w:rPr>
      </w:pPr>
    </w:p>
    <w:p w14:paraId="50DFAA29" w14:textId="77777777" w:rsidR="00236034" w:rsidRPr="00430492" w:rsidRDefault="00236034" w:rsidP="00236034">
      <w:pPr>
        <w:spacing w:line="240" w:lineRule="auto"/>
        <w:rPr>
          <w:rFonts w:ascii="Times New Roman" w:hAnsi="Times New Roman"/>
          <w:color w:val="FF0000"/>
          <w:sz w:val="20"/>
          <w:szCs w:val="20"/>
        </w:rPr>
      </w:pPr>
      <w:r w:rsidRPr="00430492">
        <w:rPr>
          <w:rFonts w:ascii="Times New Roman" w:hAnsi="Times New Roman"/>
          <w:b/>
          <w:sz w:val="20"/>
          <w:szCs w:val="20"/>
        </w:rPr>
        <w:t>Figura 4</w:t>
      </w:r>
      <w:r w:rsidRPr="00430492">
        <w:rPr>
          <w:rFonts w:ascii="Times New Roman" w:hAnsi="Times New Roman"/>
          <w:sz w:val="20"/>
          <w:szCs w:val="20"/>
        </w:rPr>
        <w:t xml:space="preserve">. “Halo sign” all’esame con eco-color doppler in paziente con AGC. L’area ipoecogena attorno all’arteria temporale è in </w:t>
      </w:r>
      <w:r w:rsidR="007103DE" w:rsidRPr="00430492">
        <w:rPr>
          <w:rFonts w:ascii="Times New Roman" w:hAnsi="Times New Roman"/>
          <w:sz w:val="20"/>
          <w:szCs w:val="20"/>
        </w:rPr>
        <w:t>sezione</w:t>
      </w:r>
      <w:r w:rsidRPr="00430492">
        <w:rPr>
          <w:rFonts w:ascii="Times New Roman" w:hAnsi="Times New Roman"/>
          <w:sz w:val="20"/>
          <w:szCs w:val="20"/>
        </w:rPr>
        <w:t xml:space="preserve"> longitudinale (immagine superiore) e trasversale (pannello inferiore) </w:t>
      </w:r>
      <w:r w:rsidRPr="00430492">
        <w:rPr>
          <w:rFonts w:ascii="Times New Roman" w:hAnsi="Times New Roman"/>
          <w:sz w:val="20"/>
          <w:szCs w:val="20"/>
        </w:rPr>
        <w:fldChar w:fldCharType="begin" w:fldLock="1"/>
      </w:r>
      <w:r w:rsidR="00F66ECC" w:rsidRPr="00430492">
        <w:rPr>
          <w:rFonts w:ascii="Times New Roman" w:hAnsi="Times New Roman"/>
          <w:sz w:val="20"/>
          <w:szCs w:val="20"/>
        </w:rPr>
        <w:instrText>ADDIN CSL_CITATION {"citationItems":[{"id":"ITEM-1","itemData":{"DOI":"10.1186/ar2003","author":[{"dropping-particle":"","family":"Karahaliou","given":"Maria","non-dropping-particle":"","parse-names":false,"suffix":""},{"dropping-particle":"","family":"Vaiopoulos","given":"George","non-dropping-particle":"","parse-names":false,"suffix":""},{"dropping-particle":"","family":"Papaspyrou","given":"Spiros","non-dropping-particle":"","parse-names":false,"suffix":""},{"dropping-particle":"","family":"Kanakis","given":"Meletios A","non-dropping-particle":"","parse-names":false,"suffix":""},{"dropping-particle":"","family":"Revenas","given":"Konstantinos","non-dropping-particle":"","parse-names":false,"suffix":""},{"dropping-particle":"","family":"Sfikakis","given":"Petros P","non-dropping-particle":"","parse-names":false,"suffix":""}],"id":"ITEM-1","issue":"4","issued":{"date-parts":[["2006"]]},"page":"1-8","title":"Research article Colour duplex sonography of temporal arteries before decision for biopsy : a prospective study in 55 patients with suspected giant cell arteritis","type":"article-journal","volume":"8"},"uris":["http://www.mendeley.com/documents/?uuid=0e72be86-1317-4e04-8cbd-553aeb58c686"]}],"mendeley":{"formattedCitation":"&lt;sup&gt;32&lt;/sup&gt;","plainTextFormattedCitation":"32","previouslyFormattedCitation":"&lt;sup&gt;32&lt;/sup&gt;"},"properties":{"noteIndex":0},"schema":"https://github.com/citation-style-language/schema/raw/master/csl-citation.json"}</w:instrText>
      </w:r>
      <w:r w:rsidRPr="00430492">
        <w:rPr>
          <w:rFonts w:ascii="Times New Roman" w:hAnsi="Times New Roman"/>
          <w:sz w:val="20"/>
          <w:szCs w:val="20"/>
        </w:rPr>
        <w:fldChar w:fldCharType="separate"/>
      </w:r>
      <w:r w:rsidR="00C41B3B" w:rsidRPr="00430492">
        <w:rPr>
          <w:rFonts w:ascii="Times New Roman" w:hAnsi="Times New Roman"/>
          <w:noProof/>
          <w:sz w:val="20"/>
          <w:szCs w:val="20"/>
          <w:vertAlign w:val="superscript"/>
        </w:rPr>
        <w:t>32</w:t>
      </w:r>
      <w:r w:rsidRPr="00430492">
        <w:rPr>
          <w:rFonts w:ascii="Times New Roman" w:hAnsi="Times New Roman"/>
          <w:sz w:val="20"/>
          <w:szCs w:val="20"/>
        </w:rPr>
        <w:fldChar w:fldCharType="end"/>
      </w:r>
      <w:r w:rsidRPr="00430492">
        <w:rPr>
          <w:rFonts w:ascii="Times New Roman" w:hAnsi="Times New Roman"/>
          <w:sz w:val="20"/>
          <w:szCs w:val="20"/>
        </w:rPr>
        <w:t>.</w:t>
      </w:r>
    </w:p>
    <w:p w14:paraId="2F8FBDBD" w14:textId="77777777" w:rsidR="004500A3" w:rsidRPr="00430492" w:rsidRDefault="004500A3" w:rsidP="00236034">
      <w:pPr>
        <w:spacing w:line="240" w:lineRule="auto"/>
        <w:rPr>
          <w:rFonts w:ascii="Times New Roman" w:hAnsi="Times New Roman"/>
          <w:color w:val="FF0000"/>
          <w:sz w:val="20"/>
          <w:szCs w:val="20"/>
        </w:rPr>
      </w:pPr>
    </w:p>
    <w:p w14:paraId="386EC324" w14:textId="77777777" w:rsidR="004500A3" w:rsidRPr="00430492" w:rsidRDefault="004500A3" w:rsidP="00236034">
      <w:pPr>
        <w:spacing w:line="240" w:lineRule="auto"/>
        <w:rPr>
          <w:rFonts w:ascii="Times New Roman" w:hAnsi="Times New Roman"/>
          <w:color w:val="FF0000"/>
          <w:sz w:val="20"/>
          <w:szCs w:val="20"/>
        </w:rPr>
      </w:pPr>
    </w:p>
    <w:p w14:paraId="0C4120DC" w14:textId="77777777" w:rsidR="004500A3" w:rsidRPr="00430492" w:rsidRDefault="004500A3" w:rsidP="00236034">
      <w:pPr>
        <w:spacing w:line="240" w:lineRule="auto"/>
        <w:rPr>
          <w:rFonts w:ascii="Times New Roman" w:hAnsi="Times New Roman"/>
          <w:color w:val="FF0000"/>
          <w:sz w:val="20"/>
          <w:szCs w:val="20"/>
        </w:rPr>
      </w:pPr>
    </w:p>
    <w:p w14:paraId="39965729" w14:textId="77777777" w:rsidR="004500A3" w:rsidRPr="00430492" w:rsidRDefault="004500A3" w:rsidP="004500A3">
      <w:pPr>
        <w:spacing w:line="240" w:lineRule="auto"/>
        <w:rPr>
          <w:rFonts w:ascii="Times New Roman" w:hAnsi="Times New Roman" w:cs="Times New Roman"/>
          <w:b/>
          <w:color w:val="FF0000"/>
          <w:sz w:val="20"/>
          <w:szCs w:val="20"/>
        </w:rPr>
      </w:pPr>
      <w:r w:rsidRPr="00430492">
        <w:rPr>
          <w:rFonts w:ascii="Times New Roman" w:hAnsi="Times New Roman" w:cs="Times New Roman"/>
          <w:noProof/>
          <w:sz w:val="20"/>
          <w:szCs w:val="20"/>
          <w:lang w:eastAsia="it-IT"/>
        </w:rPr>
        <w:drawing>
          <wp:anchor distT="0" distB="0" distL="114300" distR="114300" simplePos="0" relativeHeight="251661312" behindDoc="0" locked="0" layoutInCell="1" allowOverlap="1" wp14:anchorId="444062B8" wp14:editId="6173158B">
            <wp:simplePos x="0" y="0"/>
            <wp:positionH relativeFrom="column">
              <wp:posOffset>462</wp:posOffset>
            </wp:positionH>
            <wp:positionV relativeFrom="paragraph">
              <wp:posOffset>-3175</wp:posOffset>
            </wp:positionV>
            <wp:extent cx="2994660" cy="2419173"/>
            <wp:effectExtent l="0" t="0" r="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ft parietal branch of temporal artery in a patient with giant cell arteritis (a) before the introduction of corticosteroids; (b) 7 months after initiation of treatment. Halo sign is visible in both images (white arrows)..jpg"/>
                    <pic:cNvPicPr/>
                  </pic:nvPicPr>
                  <pic:blipFill>
                    <a:blip r:embed="rId14">
                      <a:extLst>
                        <a:ext uri="{28A0092B-C50C-407E-A947-70E740481C1C}">
                          <a14:useLocalDpi xmlns:a14="http://schemas.microsoft.com/office/drawing/2010/main" val="0"/>
                        </a:ext>
                      </a:extLst>
                    </a:blip>
                    <a:stretch>
                      <a:fillRect/>
                    </a:stretch>
                  </pic:blipFill>
                  <pic:spPr>
                    <a:xfrm>
                      <a:off x="0" y="0"/>
                      <a:ext cx="2994660" cy="2419173"/>
                    </a:xfrm>
                    <a:prstGeom prst="rect">
                      <a:avLst/>
                    </a:prstGeom>
                  </pic:spPr>
                </pic:pic>
              </a:graphicData>
            </a:graphic>
          </wp:anchor>
        </w:drawing>
      </w:r>
    </w:p>
    <w:p w14:paraId="579AA56C" w14:textId="77777777" w:rsidR="005A6840" w:rsidRPr="00430492" w:rsidRDefault="004500A3" w:rsidP="005A6840">
      <w:pPr>
        <w:spacing w:line="240" w:lineRule="auto"/>
        <w:rPr>
          <w:rFonts w:ascii="Times New Roman" w:hAnsi="Times New Roman" w:cs="Times New Roman"/>
          <w:sz w:val="20"/>
          <w:szCs w:val="20"/>
        </w:rPr>
      </w:pPr>
      <w:r w:rsidRPr="00430492">
        <w:rPr>
          <w:rFonts w:ascii="Times New Roman" w:hAnsi="Times New Roman" w:cs="Times New Roman"/>
          <w:b/>
          <w:sz w:val="20"/>
          <w:szCs w:val="20"/>
        </w:rPr>
        <w:t xml:space="preserve">Figura 5. </w:t>
      </w:r>
      <w:r w:rsidRPr="00430492">
        <w:rPr>
          <w:rFonts w:ascii="Times New Roman" w:hAnsi="Times New Roman" w:cs="Times New Roman"/>
          <w:sz w:val="20"/>
          <w:szCs w:val="20"/>
        </w:rPr>
        <w:t xml:space="preserve">Arteria temporale in un paziente con AGC prima dell’inizio della terapia con GC (a) e dopo sette mesi dall’inizio del trattamento (b). in entrambe le immagini si può vedere lo “halo sign” </w:t>
      </w:r>
      <w:r w:rsidRPr="00430492">
        <w:rPr>
          <w:rFonts w:ascii="Times New Roman" w:hAnsi="Times New Roman" w:cs="Times New Roman"/>
          <w:sz w:val="20"/>
          <w:szCs w:val="20"/>
        </w:rPr>
        <w:fldChar w:fldCharType="begin" w:fldLock="1"/>
      </w:r>
      <w:r w:rsidR="00F66ECC" w:rsidRPr="00430492">
        <w:rPr>
          <w:rFonts w:ascii="Times New Roman" w:hAnsi="Times New Roman" w:cs="Times New Roman"/>
          <w:sz w:val="20"/>
          <w:szCs w:val="20"/>
        </w:rPr>
        <w:instrText>ADDIN CSL_CITATION {"citationItems":[{"id":"ITEM-1","itemData":{"DOI":"10.1177/1759720X14521109","author":[{"dropping-particle":"","family":"Diamantopoulos","given":"Andreas P","non-dropping-particle":"","parse-names":false,"suffix":""},{"dropping-particle":"","family":"Myklebust","given":"Geirmund","non-dropping-particle":"","parse-names":false,"suffix":""}],"id":"ITEM-1","issued":{"date-parts":[["2014"]]},"page":"102-103","title":"Long-term inflammation in the temporal artery of a giant cell arteritis patient as detected by ultrasound","type":"article-journal"},"uris":["http://www.mendeley.com/documents/?uuid=36401419-17b9-4056-8681-bf2c0292abfe"]}],"mendeley":{"formattedCitation":"&lt;sup&gt;33&lt;/sup&gt;","plainTextFormattedCitation":"33","previouslyFormattedCitation":"&lt;sup&gt;33&lt;/sup&gt;"},"properties":{"noteIndex":0},"schema":"https://github.com/citation-style-language/schema/raw/master/csl-citation.json"}</w:instrText>
      </w:r>
      <w:r w:rsidRPr="00430492">
        <w:rPr>
          <w:rFonts w:ascii="Times New Roman" w:hAnsi="Times New Roman" w:cs="Times New Roman"/>
          <w:sz w:val="20"/>
          <w:szCs w:val="20"/>
        </w:rPr>
        <w:fldChar w:fldCharType="separate"/>
      </w:r>
      <w:r w:rsidR="00C41B3B" w:rsidRPr="00430492">
        <w:rPr>
          <w:rFonts w:ascii="Times New Roman" w:hAnsi="Times New Roman" w:cs="Times New Roman"/>
          <w:noProof/>
          <w:sz w:val="20"/>
          <w:szCs w:val="20"/>
          <w:vertAlign w:val="superscript"/>
        </w:rPr>
        <w:t>33</w:t>
      </w:r>
      <w:r w:rsidRPr="00430492">
        <w:rPr>
          <w:rFonts w:ascii="Times New Roman" w:hAnsi="Times New Roman" w:cs="Times New Roman"/>
          <w:sz w:val="20"/>
          <w:szCs w:val="20"/>
        </w:rPr>
        <w:fldChar w:fldCharType="end"/>
      </w:r>
      <w:r w:rsidRPr="00430492">
        <w:rPr>
          <w:rFonts w:ascii="Times New Roman" w:hAnsi="Times New Roman" w:cs="Times New Roman"/>
          <w:sz w:val="20"/>
          <w:szCs w:val="20"/>
        </w:rPr>
        <w:t>.</w:t>
      </w:r>
    </w:p>
    <w:p w14:paraId="30DC618B" w14:textId="77777777" w:rsidR="00755265" w:rsidRDefault="00755265">
      <w:pPr>
        <w:rPr>
          <w:rFonts w:ascii="Times New Roman" w:hAnsi="Times New Roman" w:cs="Times New Roman"/>
        </w:rPr>
      </w:pPr>
      <w:r>
        <w:rPr>
          <w:rFonts w:ascii="Times New Roman" w:hAnsi="Times New Roman" w:cs="Times New Roman"/>
        </w:rPr>
        <w:br w:type="page"/>
      </w:r>
    </w:p>
    <w:p w14:paraId="62C8FECB" w14:textId="28DFE837" w:rsidR="001A08BD" w:rsidRPr="0023741C" w:rsidRDefault="001A08BD" w:rsidP="005A6840">
      <w:pPr>
        <w:spacing w:line="240" w:lineRule="auto"/>
        <w:rPr>
          <w:rFonts w:ascii="Times New Roman" w:hAnsi="Times New Roman" w:cs="Times New Roman"/>
          <w:sz w:val="24"/>
          <w:szCs w:val="24"/>
        </w:rPr>
      </w:pPr>
      <w:r w:rsidRPr="0023741C">
        <w:rPr>
          <w:rFonts w:ascii="Times New Roman" w:hAnsi="Times New Roman" w:cs="Times New Roman"/>
          <w:sz w:val="24"/>
          <w:szCs w:val="24"/>
        </w:rPr>
        <w:lastRenderedPageBreak/>
        <w:t>L’ecocardiografia può valutare l’aorta ascendente.</w:t>
      </w:r>
    </w:p>
    <w:p w14:paraId="53E3946D" w14:textId="77777777" w:rsidR="00EA1A09" w:rsidRPr="0023741C" w:rsidRDefault="001A08BD" w:rsidP="00C25BDF">
      <w:pPr>
        <w:spacing w:line="480" w:lineRule="auto"/>
        <w:rPr>
          <w:rFonts w:ascii="Times New Roman" w:hAnsi="Times New Roman" w:cs="Times New Roman"/>
          <w:sz w:val="24"/>
          <w:szCs w:val="24"/>
        </w:rPr>
      </w:pPr>
      <w:r w:rsidRPr="0023741C">
        <w:rPr>
          <w:rFonts w:ascii="Times New Roman" w:hAnsi="Times New Roman" w:cs="Times New Roman"/>
          <w:sz w:val="24"/>
          <w:szCs w:val="24"/>
        </w:rPr>
        <w:t>Angio-TC ed angio-RM valutano ispessimento, edema</w:t>
      </w:r>
      <w:r w:rsidR="007103DE" w:rsidRPr="0023741C">
        <w:rPr>
          <w:rFonts w:ascii="Times New Roman" w:hAnsi="Times New Roman" w:cs="Times New Roman"/>
          <w:sz w:val="24"/>
          <w:szCs w:val="24"/>
        </w:rPr>
        <w:t xml:space="preserve"> flogistico</w:t>
      </w:r>
      <w:r w:rsidRPr="0023741C">
        <w:rPr>
          <w:rFonts w:ascii="Times New Roman" w:hAnsi="Times New Roman" w:cs="Times New Roman"/>
          <w:sz w:val="24"/>
          <w:szCs w:val="24"/>
        </w:rPr>
        <w:t>, restringimenti o dilatazioni del calibro</w:t>
      </w:r>
      <w:r w:rsidR="007103DE" w:rsidRPr="0023741C">
        <w:rPr>
          <w:rFonts w:ascii="Times New Roman" w:hAnsi="Times New Roman" w:cs="Times New Roman"/>
          <w:sz w:val="24"/>
          <w:szCs w:val="24"/>
        </w:rPr>
        <w:t xml:space="preserve"> dei grossi vasi</w:t>
      </w:r>
      <w:r w:rsidRPr="0023741C">
        <w:rPr>
          <w:rFonts w:ascii="Times New Roman" w:hAnsi="Times New Roman" w:cs="Times New Roman"/>
          <w:sz w:val="24"/>
          <w:szCs w:val="24"/>
        </w:rPr>
        <w:t>. Recentemente è stato indagato anche</w:t>
      </w:r>
      <w:r w:rsidR="007103DE" w:rsidRPr="0023741C">
        <w:rPr>
          <w:rFonts w:ascii="Times New Roman" w:hAnsi="Times New Roman" w:cs="Times New Roman"/>
          <w:sz w:val="24"/>
          <w:szCs w:val="24"/>
        </w:rPr>
        <w:t xml:space="preserve"> un</w:t>
      </w:r>
      <w:r w:rsidRPr="0023741C">
        <w:rPr>
          <w:rFonts w:ascii="Times New Roman" w:hAnsi="Times New Roman" w:cs="Times New Roman"/>
          <w:sz w:val="24"/>
          <w:szCs w:val="24"/>
        </w:rPr>
        <w:t xml:space="preserve"> protocollo con RM</w:t>
      </w:r>
      <w:r w:rsidR="007103DE" w:rsidRPr="0023741C">
        <w:rPr>
          <w:rFonts w:ascii="Times New Roman" w:hAnsi="Times New Roman" w:cs="Times New Roman"/>
          <w:sz w:val="24"/>
          <w:szCs w:val="24"/>
        </w:rPr>
        <w:t xml:space="preserve"> </w:t>
      </w:r>
      <w:r w:rsidRPr="0023741C">
        <w:rPr>
          <w:rFonts w:ascii="Times New Roman" w:hAnsi="Times New Roman" w:cs="Times New Roman"/>
          <w:sz w:val="24"/>
          <w:szCs w:val="24"/>
        </w:rPr>
        <w:t>dinamic</w:t>
      </w:r>
      <w:r w:rsidR="007103DE" w:rsidRPr="0023741C">
        <w:rPr>
          <w:rFonts w:ascii="Times New Roman" w:hAnsi="Times New Roman" w:cs="Times New Roman"/>
          <w:sz w:val="24"/>
          <w:szCs w:val="24"/>
        </w:rPr>
        <w:t>a dopo infusione di mezzo di contrasto</w:t>
      </w:r>
      <w:r w:rsidRPr="0023741C">
        <w:rPr>
          <w:rFonts w:ascii="Times New Roman" w:hAnsi="Times New Roman" w:cs="Times New Roman"/>
          <w:sz w:val="24"/>
          <w:szCs w:val="24"/>
        </w:rPr>
        <w:t>, che evidenzia una capatazione del gadolinio nettamente superiore nei pazienti con arterite rispetto al gruppo di controllo; questa tecnica però non è stata ulteriormente indagata.</w:t>
      </w:r>
    </w:p>
    <w:p w14:paraId="5CC1FBE7" w14:textId="62F43500" w:rsidR="007103DE" w:rsidRPr="0023741C" w:rsidRDefault="007103DE" w:rsidP="00C25BDF">
      <w:pPr>
        <w:spacing w:line="480" w:lineRule="auto"/>
        <w:rPr>
          <w:rFonts w:ascii="Times New Roman" w:hAnsi="Times New Roman" w:cs="Times New Roman"/>
          <w:sz w:val="24"/>
          <w:szCs w:val="24"/>
        </w:rPr>
      </w:pPr>
      <w:r w:rsidRPr="0023741C">
        <w:rPr>
          <w:rFonts w:ascii="Times New Roman" w:hAnsi="Times New Roman" w:cs="Times New Roman"/>
          <w:sz w:val="24"/>
          <w:szCs w:val="24"/>
        </w:rPr>
        <w:t>La RM dell’arteria temporale eseguita con mezzo di contrasto su apparecchi ad alto campo (prevalentemente da 3T) è in grado di visualizzare l’edema infiammatorio della parete arteriosa ed è altamente specifico dell’AGC</w:t>
      </w:r>
      <w:r w:rsidR="007F7780" w:rsidRPr="0023741C">
        <w:rPr>
          <w:rFonts w:ascii="Times New Roman" w:hAnsi="Times New Roman" w:cs="Times New Roman"/>
          <w:sz w:val="24"/>
          <w:szCs w:val="24"/>
        </w:rPr>
        <w:fldChar w:fldCharType="begin" w:fldLock="1"/>
      </w:r>
      <w:r w:rsidR="004F08FB" w:rsidRPr="0023741C">
        <w:rPr>
          <w:rFonts w:ascii="Times New Roman" w:hAnsi="Times New Roman" w:cs="Times New Roman"/>
          <w:sz w:val="24"/>
          <w:szCs w:val="24"/>
        </w:rPr>
        <w:instrText>ADDIN CSL_CITATION {"citationItems":[{"id":"ITEM-1","itemData":{"DOI":"10.1002/art.20840","ISSN":"21514658","author":[{"dropping-particle":"","family":"Bley","given":"T. A.","non-dropping-particle":"","parse-names":false,"suffix":""},{"dropping-particle":"","family":"Wieben","given":"O.","non-dropping-particle":"","parse-names":false,"suffix":""},{"dropping-particle":"","family":"Vaith","given":"P.","non-dropping-particle":"","parse-names":false,"suffix":""},{"dropping-particle":"","family":"Schmidt","given":"D.","non-dropping-particle":"","parse-names":false,"suffix":""},{"dropping-particle":"","family":"Ghanem","given":"N. A.","non-dropping-particle":"","parse-names":false,"suffix":""},{"dropping-particle":"","family":"Langer","given":"M.","non-dropping-particle":"","parse-names":false,"suffix":""},{"dropping-particle":"","family":"Seo","given":"Philip","non-dropping-particle":"","parse-names":false,"suffix":""},{"dropping-particle":"","family":"Stone","given":"John H.","non-dropping-particle":"","parse-names":false,"suffix":""}],"container-title":"Arthritis Care and Research","id":"ITEM-1","issue":"6","issued":{"date-parts":[["2004","12","15"]]},"page":"1062-1064","title":"Magnetic resonance imaging depicts mural inflammation of the temporal artery in giant cell arteritis [2] (multiple letters)","type":"article","volume":"51"},"uris":["http://www.mendeley.com/documents/?uuid=e225c31d-0f50-3b1d-bad8-3ac8d6fd964d"]}],"mendeley":{"formattedCitation":"&lt;sup&gt;34&lt;/sup&gt;","plainTextFormattedCitation":"34","previouslyFormattedCitation":"&lt;sup&gt;34&lt;/sup&gt;"},"properties":{"noteIndex":0},"schema":"https://github.com/citation-style-language/schema/raw/master/csl-citation.json"}</w:instrText>
      </w:r>
      <w:r w:rsidR="007F7780" w:rsidRPr="0023741C">
        <w:rPr>
          <w:rFonts w:ascii="Times New Roman" w:hAnsi="Times New Roman" w:cs="Times New Roman"/>
          <w:sz w:val="24"/>
          <w:szCs w:val="24"/>
        </w:rPr>
        <w:fldChar w:fldCharType="separate"/>
      </w:r>
      <w:r w:rsidR="007F7780" w:rsidRPr="0023741C">
        <w:rPr>
          <w:rFonts w:ascii="Times New Roman" w:hAnsi="Times New Roman" w:cs="Times New Roman"/>
          <w:noProof/>
          <w:sz w:val="24"/>
          <w:szCs w:val="24"/>
          <w:vertAlign w:val="superscript"/>
        </w:rPr>
        <w:t>34</w:t>
      </w:r>
      <w:r w:rsidR="007F7780" w:rsidRPr="0023741C">
        <w:rPr>
          <w:rFonts w:ascii="Times New Roman" w:hAnsi="Times New Roman" w:cs="Times New Roman"/>
          <w:sz w:val="24"/>
          <w:szCs w:val="24"/>
        </w:rPr>
        <w:fldChar w:fldCharType="end"/>
      </w:r>
      <w:r w:rsidRPr="0023741C">
        <w:rPr>
          <w:rFonts w:ascii="Times New Roman" w:hAnsi="Times New Roman" w:cs="Times New Roman"/>
          <w:sz w:val="24"/>
          <w:szCs w:val="24"/>
        </w:rPr>
        <w:t>.</w:t>
      </w:r>
    </w:p>
    <w:p w14:paraId="18E9B2C0" w14:textId="77777777" w:rsidR="000C3549" w:rsidRDefault="000C3549" w:rsidP="009464C3">
      <w:pPr>
        <w:spacing w:line="360" w:lineRule="auto"/>
        <w:rPr>
          <w:rFonts w:ascii="Times New Roman" w:hAnsi="Times New Roman" w:cs="Times New Roman"/>
        </w:rPr>
      </w:pPr>
    </w:p>
    <w:p w14:paraId="587B1D75" w14:textId="77777777" w:rsidR="000C3549" w:rsidRDefault="00126523" w:rsidP="009464C3">
      <w:pPr>
        <w:spacing w:line="360" w:lineRule="auto"/>
        <w:rPr>
          <w:rFonts w:ascii="Times New Roman" w:hAnsi="Times New Roman" w:cs="Times New Roman"/>
        </w:rPr>
      </w:pPr>
      <w:r>
        <w:rPr>
          <w:rFonts w:ascii="Times New Roman" w:hAnsi="Times New Roman" w:cs="Times New Roman"/>
          <w:noProof/>
          <w:lang w:eastAsia="it-IT"/>
        </w:rPr>
        <w:drawing>
          <wp:inline distT="0" distB="0" distL="0" distR="0" wp14:anchorId="33AE914D" wp14:editId="4B090F9D">
            <wp:extent cx="5039360" cy="328358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GNO~1.JPG"/>
                    <pic:cNvPicPr/>
                  </pic:nvPicPr>
                  <pic:blipFill>
                    <a:blip r:embed="rId15">
                      <a:extLst>
                        <a:ext uri="{28A0092B-C50C-407E-A947-70E740481C1C}">
                          <a14:useLocalDpi xmlns:a14="http://schemas.microsoft.com/office/drawing/2010/main" val="0"/>
                        </a:ext>
                      </a:extLst>
                    </a:blip>
                    <a:stretch>
                      <a:fillRect/>
                    </a:stretch>
                  </pic:blipFill>
                  <pic:spPr>
                    <a:xfrm>
                      <a:off x="0" y="0"/>
                      <a:ext cx="5039360" cy="3283585"/>
                    </a:xfrm>
                    <a:prstGeom prst="rect">
                      <a:avLst/>
                    </a:prstGeom>
                  </pic:spPr>
                </pic:pic>
              </a:graphicData>
            </a:graphic>
          </wp:inline>
        </w:drawing>
      </w:r>
    </w:p>
    <w:p w14:paraId="0625E3B4" w14:textId="77777777" w:rsidR="00126523" w:rsidRPr="00430492" w:rsidRDefault="00126523" w:rsidP="005A6840">
      <w:pPr>
        <w:spacing w:line="240" w:lineRule="auto"/>
        <w:rPr>
          <w:rFonts w:ascii="Times New Roman" w:hAnsi="Times New Roman" w:cs="Times New Roman"/>
          <w:sz w:val="20"/>
          <w:szCs w:val="20"/>
        </w:rPr>
      </w:pPr>
      <w:r w:rsidRPr="00430492">
        <w:rPr>
          <w:rFonts w:ascii="Times New Roman" w:hAnsi="Times New Roman" w:cs="Times New Roman"/>
          <w:b/>
          <w:sz w:val="20"/>
          <w:szCs w:val="20"/>
        </w:rPr>
        <w:t xml:space="preserve">Figura </w:t>
      </w:r>
      <w:r w:rsidR="003E0D5F" w:rsidRPr="00430492">
        <w:rPr>
          <w:rFonts w:ascii="Times New Roman" w:hAnsi="Times New Roman" w:cs="Times New Roman"/>
          <w:b/>
          <w:sz w:val="20"/>
          <w:szCs w:val="20"/>
        </w:rPr>
        <w:t>6</w:t>
      </w:r>
      <w:r w:rsidRPr="00430492">
        <w:rPr>
          <w:rFonts w:ascii="Times New Roman" w:hAnsi="Times New Roman" w:cs="Times New Roman"/>
          <w:b/>
          <w:sz w:val="20"/>
          <w:szCs w:val="20"/>
        </w:rPr>
        <w:t xml:space="preserve">. </w:t>
      </w:r>
      <w:r w:rsidRPr="00430492">
        <w:rPr>
          <w:rFonts w:ascii="Times New Roman" w:hAnsi="Times New Roman" w:cs="Times New Roman"/>
          <w:sz w:val="20"/>
          <w:szCs w:val="20"/>
        </w:rPr>
        <w:t xml:space="preserve">Diagnosi di AGC con l’utilizzo di RM </w:t>
      </w:r>
      <w:r w:rsidR="00405862" w:rsidRPr="00430492">
        <w:rPr>
          <w:rFonts w:ascii="Times New Roman" w:hAnsi="Times New Roman" w:cs="Times New Roman"/>
          <w:sz w:val="20"/>
          <w:szCs w:val="20"/>
        </w:rPr>
        <w:fldChar w:fldCharType="begin" w:fldLock="1"/>
      </w:r>
      <w:r w:rsidR="00F66ECC" w:rsidRPr="00430492">
        <w:rPr>
          <w:rFonts w:ascii="Times New Roman" w:hAnsi="Times New Roman" w:cs="Times New Roman"/>
          <w:sz w:val="20"/>
          <w:szCs w:val="20"/>
        </w:rPr>
        <w:instrText>ADDIN CSL_CITATION {"citationItems":[{"id":"ITEM-1","itemData":{"author":[{"dropping-particle":"","family":"Zou","given":"Quan","non-dropping-particle":"","parse-names":false,"suffix":""},{"dropping-particle":"","family":"Ma","given":"Sumei","non-dropping-particle":"","parse-names":false,"suffix":""},{"dropping-particle":"","family":"Zhou","given":"Xinghu","non-dropping-particle":"","parse-names":false,"suffix":""}],"id":"ITEM-1","issued":{"date-parts":[["2019"]]},"page":"1-12","publisher":"BMC Medical Imaging","title":"Ultrasound versus temporal artery biopsy in patients with Giant cell arteritis : a prospective cohort study","type":"article-journal"},"uris":["http://www.mendeley.com/documents/?uuid=e5d8bea3-107f-4b69-9693-84c64c7ad8fd"]}],"mendeley":{"formattedCitation":"&lt;sup&gt;30&lt;/sup&gt;","plainTextFormattedCitation":"30","previouslyFormattedCitation":"&lt;sup&gt;30&lt;/sup&gt;"},"properties":{"noteIndex":0},"schema":"https://github.com/citation-style-language/schema/raw/master/csl-citation.json"}</w:instrText>
      </w:r>
      <w:r w:rsidR="00405862" w:rsidRPr="00430492">
        <w:rPr>
          <w:rFonts w:ascii="Times New Roman" w:hAnsi="Times New Roman" w:cs="Times New Roman"/>
          <w:sz w:val="20"/>
          <w:szCs w:val="20"/>
        </w:rPr>
        <w:fldChar w:fldCharType="separate"/>
      </w:r>
      <w:r w:rsidR="00C41B3B" w:rsidRPr="00430492">
        <w:rPr>
          <w:rFonts w:ascii="Times New Roman" w:hAnsi="Times New Roman" w:cs="Times New Roman"/>
          <w:noProof/>
          <w:sz w:val="20"/>
          <w:szCs w:val="20"/>
          <w:vertAlign w:val="superscript"/>
        </w:rPr>
        <w:t>30</w:t>
      </w:r>
      <w:r w:rsidR="00405862" w:rsidRPr="00430492">
        <w:rPr>
          <w:rFonts w:ascii="Times New Roman" w:hAnsi="Times New Roman" w:cs="Times New Roman"/>
          <w:sz w:val="20"/>
          <w:szCs w:val="20"/>
        </w:rPr>
        <w:fldChar w:fldCharType="end"/>
      </w:r>
      <w:r w:rsidRPr="00430492">
        <w:rPr>
          <w:rFonts w:ascii="Times New Roman" w:hAnsi="Times New Roman" w:cs="Times New Roman"/>
          <w:sz w:val="20"/>
          <w:szCs w:val="20"/>
        </w:rPr>
        <w:t>.</w:t>
      </w:r>
    </w:p>
    <w:p w14:paraId="769D2DD4" w14:textId="77777777" w:rsidR="00126523" w:rsidRPr="00430492" w:rsidRDefault="00126523" w:rsidP="005A6840">
      <w:pPr>
        <w:pStyle w:val="Paragrafoelenco"/>
        <w:numPr>
          <w:ilvl w:val="0"/>
          <w:numId w:val="45"/>
        </w:numPr>
        <w:spacing w:line="240" w:lineRule="auto"/>
        <w:rPr>
          <w:rFonts w:ascii="Times New Roman" w:hAnsi="Times New Roman"/>
          <w:sz w:val="20"/>
          <w:szCs w:val="20"/>
        </w:rPr>
      </w:pPr>
      <w:r w:rsidRPr="00430492">
        <w:rPr>
          <w:rFonts w:ascii="Times New Roman" w:hAnsi="Times New Roman"/>
          <w:sz w:val="20"/>
          <w:szCs w:val="20"/>
        </w:rPr>
        <w:t>Rappresentazione grafica dell</w:t>
      </w:r>
      <w:r w:rsidR="00C13600" w:rsidRPr="00430492">
        <w:rPr>
          <w:rFonts w:ascii="Times New Roman" w:hAnsi="Times New Roman"/>
          <w:sz w:val="20"/>
          <w:szCs w:val="20"/>
        </w:rPr>
        <w:t>’ispessimento murale</w:t>
      </w:r>
    </w:p>
    <w:p w14:paraId="06F41C20" w14:textId="77777777" w:rsidR="00126523" w:rsidRPr="00430492" w:rsidRDefault="00126523" w:rsidP="005A6840">
      <w:pPr>
        <w:pStyle w:val="Paragrafoelenco"/>
        <w:numPr>
          <w:ilvl w:val="0"/>
          <w:numId w:val="45"/>
        </w:numPr>
        <w:spacing w:line="240" w:lineRule="auto"/>
        <w:rPr>
          <w:rFonts w:ascii="Times New Roman" w:hAnsi="Times New Roman"/>
          <w:sz w:val="20"/>
          <w:szCs w:val="20"/>
        </w:rPr>
      </w:pPr>
      <w:r w:rsidRPr="00430492">
        <w:rPr>
          <w:rFonts w:ascii="Times New Roman" w:hAnsi="Times New Roman"/>
          <w:sz w:val="20"/>
          <w:szCs w:val="20"/>
        </w:rPr>
        <w:t>Visione longitudinale dell’arteria temporale tramite RM</w:t>
      </w:r>
      <w:r w:rsidR="00C13600" w:rsidRPr="00430492">
        <w:rPr>
          <w:rFonts w:ascii="Times New Roman" w:hAnsi="Times New Roman"/>
          <w:sz w:val="20"/>
          <w:szCs w:val="20"/>
        </w:rPr>
        <w:t xml:space="preserve"> che evidenziano le aree di ispessimento murale</w:t>
      </w:r>
      <w:r w:rsidRPr="00430492">
        <w:rPr>
          <w:rFonts w:ascii="Times New Roman" w:hAnsi="Times New Roman"/>
          <w:sz w:val="20"/>
          <w:szCs w:val="20"/>
        </w:rPr>
        <w:t xml:space="preserve"> </w:t>
      </w:r>
    </w:p>
    <w:p w14:paraId="5DE79FB6" w14:textId="77777777" w:rsidR="005A6840" w:rsidRDefault="005A6840" w:rsidP="00C25BDF">
      <w:pPr>
        <w:spacing w:line="480" w:lineRule="auto"/>
        <w:rPr>
          <w:rFonts w:ascii="Times New Roman" w:hAnsi="Times New Roman" w:cs="Times New Roman"/>
        </w:rPr>
      </w:pPr>
    </w:p>
    <w:p w14:paraId="19E6E9C7" w14:textId="77777777" w:rsidR="001A08BD" w:rsidRPr="0023741C" w:rsidRDefault="001A08BD" w:rsidP="00C25BDF">
      <w:pPr>
        <w:spacing w:line="480" w:lineRule="auto"/>
        <w:rPr>
          <w:rFonts w:ascii="Times New Roman" w:hAnsi="Times New Roman" w:cs="Times New Roman"/>
          <w:sz w:val="24"/>
          <w:szCs w:val="24"/>
        </w:rPr>
      </w:pPr>
      <w:r w:rsidRPr="0023741C">
        <w:rPr>
          <w:rFonts w:ascii="Times New Roman" w:hAnsi="Times New Roman" w:cs="Times New Roman"/>
          <w:sz w:val="24"/>
          <w:szCs w:val="24"/>
        </w:rPr>
        <w:t>L’arteriografia</w:t>
      </w:r>
      <w:r w:rsidRPr="0023741C">
        <w:rPr>
          <w:rFonts w:ascii="Times New Roman" w:hAnsi="Times New Roman" w:cs="Times New Roman"/>
          <w:b/>
          <w:sz w:val="24"/>
          <w:szCs w:val="24"/>
        </w:rPr>
        <w:t xml:space="preserve"> </w:t>
      </w:r>
      <w:r w:rsidRPr="0023741C">
        <w:rPr>
          <w:rFonts w:ascii="Times New Roman" w:hAnsi="Times New Roman" w:cs="Times New Roman"/>
          <w:sz w:val="24"/>
          <w:szCs w:val="24"/>
        </w:rPr>
        <w:t>definisce meglio l’entità della stenosi, ma non è più indicata, essendo stata rimpiazzata da tecniche di imaging non invasive</w:t>
      </w:r>
      <w:r w:rsidR="00FB4D32" w:rsidRPr="0023741C">
        <w:rPr>
          <w:rFonts w:ascii="Times New Roman" w:hAnsi="Times New Roman" w:cs="Times New Roman"/>
          <w:sz w:val="24"/>
          <w:szCs w:val="24"/>
        </w:rPr>
        <w:fldChar w:fldCharType="begin" w:fldLock="1"/>
      </w:r>
      <w:r w:rsidR="00FB4D32" w:rsidRPr="0023741C">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B4D32" w:rsidRPr="0023741C">
        <w:rPr>
          <w:rFonts w:ascii="Times New Roman" w:hAnsi="Times New Roman" w:cs="Times New Roman"/>
          <w:sz w:val="24"/>
          <w:szCs w:val="24"/>
        </w:rPr>
        <w:fldChar w:fldCharType="separate"/>
      </w:r>
      <w:r w:rsidR="00FB4D32" w:rsidRPr="0023741C">
        <w:rPr>
          <w:rFonts w:ascii="Times New Roman" w:hAnsi="Times New Roman" w:cs="Times New Roman"/>
          <w:noProof/>
          <w:sz w:val="24"/>
          <w:szCs w:val="24"/>
          <w:vertAlign w:val="superscript"/>
        </w:rPr>
        <w:t>1</w:t>
      </w:r>
      <w:r w:rsidR="00FB4D32" w:rsidRPr="0023741C">
        <w:rPr>
          <w:rFonts w:ascii="Times New Roman" w:hAnsi="Times New Roman" w:cs="Times New Roman"/>
          <w:sz w:val="24"/>
          <w:szCs w:val="24"/>
        </w:rPr>
        <w:fldChar w:fldCharType="end"/>
      </w:r>
      <w:r w:rsidRPr="0023741C">
        <w:rPr>
          <w:rFonts w:ascii="Times New Roman" w:hAnsi="Times New Roman" w:cs="Times New Roman"/>
          <w:sz w:val="24"/>
          <w:szCs w:val="24"/>
        </w:rPr>
        <w:t>.</w:t>
      </w:r>
    </w:p>
    <w:p w14:paraId="4AA336E8" w14:textId="77777777" w:rsidR="001A08BD" w:rsidRPr="0023741C" w:rsidRDefault="001A08BD" w:rsidP="00C25BDF">
      <w:pPr>
        <w:spacing w:line="480" w:lineRule="auto"/>
        <w:rPr>
          <w:rFonts w:ascii="Times New Roman" w:hAnsi="Times New Roman" w:cs="Times New Roman"/>
          <w:sz w:val="24"/>
          <w:szCs w:val="24"/>
        </w:rPr>
      </w:pPr>
      <w:r w:rsidRPr="0023741C">
        <w:rPr>
          <w:rFonts w:ascii="Times New Roman" w:hAnsi="Times New Roman" w:cs="Times New Roman"/>
          <w:sz w:val="24"/>
          <w:szCs w:val="24"/>
        </w:rPr>
        <w:t xml:space="preserve">La PET con fluorodeossiglucosio valuta flogosi del vaso e potrebbe essere utile durante il follow-up. La PET rimane molto più utile per la diagnosi delle forme extracraniche, mentre è sconsigliata per le forme craniche dal momento che l’eventuale captazione dell’arteria temporale sarebbe coperta dalla captazione del cervello, che ha un alto metabolismo di glucosio </w:t>
      </w:r>
      <w:r w:rsidR="00405862" w:rsidRPr="0023741C">
        <w:rPr>
          <w:rFonts w:ascii="Times New Roman" w:hAnsi="Times New Roman" w:cs="Times New Roman"/>
          <w:sz w:val="24"/>
          <w:szCs w:val="24"/>
        </w:rPr>
        <w:fldChar w:fldCharType="begin" w:fldLock="1"/>
      </w:r>
      <w:r w:rsidR="00F66ECC" w:rsidRPr="0023741C">
        <w:rPr>
          <w:rFonts w:ascii="Times New Roman" w:hAnsi="Times New Roman" w:cs="Times New Roman"/>
          <w:sz w:val="24"/>
          <w:szCs w:val="24"/>
        </w:rPr>
        <w:instrText>ADDIN CSL_CITATION {"citationItems":[{"id":"ITEM-1","itemData":{"DOI":"10.1080/03009742.2019.1571223","ISSN":"0300-9742","author":[{"dropping-particle":"","family":"Turesson","given":"C","non-dropping-particle":"","parse-names":false,"suffix":""},{"dropping-particle":"","family":"Börjesson","given":"O","non-dropping-particle":"","parse-names":false,"suffix":""},{"dropping-particle":"","family":"Larsson","given":"K","non-dropping-particle":"","parse-names":false,"suffix":""},{"dropping-particle":"","family":"Mohammad","given":"AJ","non-dropping-particle":"","parse-names":false,"suffix":""},{"dropping-particle":"","family":"Knight","given":"A","non-dropping-particle":"","parse-names":false,"suffix":""}],"container-title":"Scandinavian Journal of Rheumatology","id":"ITEM-1","issue":"00","issued":{"date-parts":[["2019"]]},"page":"1-7","publisher":"Taylor &amp; Francis","title":"Swedish Society of Rheumatology 2018 guidelines for investigation, treatment, and follow-up of giant cell arteritis","type":"article-journal","volume":"00"},"uris":["http://www.mendeley.com/documents/?uuid=fbe917cc-dd53-44db-8782-4337413bddd5"]}],"mendeley":{"formattedCitation":"&lt;sup&gt;29&lt;/sup&gt;","plainTextFormattedCitation":"29","previouslyFormattedCitation":"&lt;sup&gt;29&lt;/sup&gt;"},"properties":{"noteIndex":0},"schema":"https://github.com/citation-style-language/schema/raw/master/csl-citation.json"}</w:instrText>
      </w:r>
      <w:r w:rsidR="00405862" w:rsidRPr="0023741C">
        <w:rPr>
          <w:rFonts w:ascii="Times New Roman" w:hAnsi="Times New Roman" w:cs="Times New Roman"/>
          <w:sz w:val="24"/>
          <w:szCs w:val="24"/>
        </w:rPr>
        <w:fldChar w:fldCharType="separate"/>
      </w:r>
      <w:r w:rsidR="00C41B3B" w:rsidRPr="0023741C">
        <w:rPr>
          <w:rFonts w:ascii="Times New Roman" w:hAnsi="Times New Roman" w:cs="Times New Roman"/>
          <w:noProof/>
          <w:sz w:val="24"/>
          <w:szCs w:val="24"/>
          <w:vertAlign w:val="superscript"/>
        </w:rPr>
        <w:t>29</w:t>
      </w:r>
      <w:r w:rsidR="00405862" w:rsidRPr="0023741C">
        <w:rPr>
          <w:rFonts w:ascii="Times New Roman" w:hAnsi="Times New Roman" w:cs="Times New Roman"/>
          <w:sz w:val="24"/>
          <w:szCs w:val="24"/>
        </w:rPr>
        <w:fldChar w:fldCharType="end"/>
      </w:r>
      <w:r w:rsidRPr="0023741C">
        <w:rPr>
          <w:rFonts w:ascii="Times New Roman" w:hAnsi="Times New Roman" w:cs="Times New Roman"/>
          <w:sz w:val="24"/>
          <w:szCs w:val="24"/>
        </w:rPr>
        <w:t>. Le misurazioni quantitative (l’utilizzo metabolico) o semi-quantitative (valori di captazione standardizzati) della captazione di glucosio da parte della parete dei vasi infatti possono essere sovra- o sottostimate a seconda dell’attività metabolica dei tessuti adiacenti.</w:t>
      </w:r>
    </w:p>
    <w:p w14:paraId="727E4449" w14:textId="0BC67591" w:rsidR="001A08BD" w:rsidRPr="0023741C" w:rsidRDefault="001A08BD" w:rsidP="00C25BDF">
      <w:pPr>
        <w:spacing w:line="480" w:lineRule="auto"/>
        <w:rPr>
          <w:rFonts w:ascii="Times New Roman" w:hAnsi="Times New Roman" w:cs="Times New Roman"/>
          <w:sz w:val="24"/>
          <w:szCs w:val="24"/>
        </w:rPr>
      </w:pPr>
      <w:r w:rsidRPr="0023741C">
        <w:rPr>
          <w:rFonts w:ascii="Times New Roman" w:hAnsi="Times New Roman" w:cs="Times New Roman"/>
          <w:sz w:val="24"/>
          <w:szCs w:val="24"/>
        </w:rPr>
        <w:t>I livelli di captazione del glucosio sembrano inoltre correlati con la concentrazione degli indicatori di fase acuta e con i livelli serici di IL-6</w:t>
      </w:r>
      <w:r w:rsidR="004258B6" w:rsidRPr="0023741C">
        <w:rPr>
          <w:rFonts w:ascii="Times New Roman" w:hAnsi="Times New Roman" w:cs="Times New Roman"/>
          <w:sz w:val="24"/>
          <w:szCs w:val="24"/>
        </w:rPr>
        <w:t xml:space="preserve">, </w:t>
      </w:r>
      <w:r w:rsidRPr="0023741C">
        <w:rPr>
          <w:rFonts w:ascii="Times New Roman" w:hAnsi="Times New Roman" w:cs="Times New Roman"/>
          <w:sz w:val="24"/>
          <w:szCs w:val="24"/>
        </w:rPr>
        <w:t xml:space="preserve">e quindi essere correlati con il grado di attività della malattia. Un recente studio suggerirebbe che l’utilizzo clinico routinario della PET nel sospetto di AGC, aumenterebbe l’accuratezza diagnostica. Questi risultati sono comunque da prendere in considerazione con cautela, dal momento che </w:t>
      </w:r>
      <w:r w:rsidR="007E23F7" w:rsidRPr="0023741C">
        <w:rPr>
          <w:rFonts w:ascii="Times New Roman" w:hAnsi="Times New Roman" w:cs="Times New Roman"/>
          <w:sz w:val="24"/>
          <w:szCs w:val="24"/>
        </w:rPr>
        <w:t>la</w:t>
      </w:r>
      <w:r w:rsidRPr="0023741C">
        <w:rPr>
          <w:rFonts w:ascii="Times New Roman" w:hAnsi="Times New Roman" w:cs="Times New Roman"/>
          <w:sz w:val="24"/>
          <w:szCs w:val="24"/>
        </w:rPr>
        <w:t xml:space="preserve"> PET </w:t>
      </w:r>
      <w:r w:rsidR="007E23F7" w:rsidRPr="0023741C">
        <w:rPr>
          <w:rFonts w:ascii="Times New Roman" w:hAnsi="Times New Roman" w:cs="Times New Roman"/>
          <w:sz w:val="24"/>
          <w:szCs w:val="24"/>
        </w:rPr>
        <w:t>rientrava tra i</w:t>
      </w:r>
      <w:r w:rsidRPr="0023741C">
        <w:rPr>
          <w:rFonts w:ascii="Times New Roman" w:hAnsi="Times New Roman" w:cs="Times New Roman"/>
          <w:sz w:val="24"/>
          <w:szCs w:val="24"/>
        </w:rPr>
        <w:t xml:space="preserve"> criteri diagnostici </w:t>
      </w:r>
      <w:r w:rsidR="00405862" w:rsidRPr="0023741C">
        <w:rPr>
          <w:rFonts w:ascii="Times New Roman" w:hAnsi="Times New Roman" w:cs="Times New Roman"/>
          <w:sz w:val="24"/>
          <w:szCs w:val="24"/>
        </w:rPr>
        <w:fldChar w:fldCharType="begin" w:fldLock="1"/>
      </w:r>
      <w:r w:rsidR="00F66ECC" w:rsidRPr="0023741C">
        <w:rPr>
          <w:rFonts w:ascii="Times New Roman" w:hAnsi="Times New Roman" w:cs="Times New Roman"/>
          <w:sz w:val="24"/>
          <w:szCs w:val="24"/>
        </w:rPr>
        <w:instrText>ADDIN CSL_CITATION {"citationItems":[{"id":"ITEM-1","itemData":{"ISSN":"03002977","abstract":"A systematic literature search was performed to summarise current knowledge on extracranial giant cell arteritis (GCA), i.e. large-artery involvement in patients with or without clinically apparent temporal arteritis (cranial GCA). Extracranial GCA is increasingly recognised, both in patients with cranial GCA and with solitary extracranial GCA, due to increased awareness among physicians and development of modern imaging modalities. The literature on the pathogenesis and histopathology of extracranial GCA is scarce. It is considered to be similar to cranial GCA. Patients with solitary extracranial GCA often present with non-specific signs and symptoms, although vascular manifestations, mostly secondary to stenosis, may occur. Due to the non-specific clinical presentation and low sensitivity of temporal artery biopsies, extracranial GCA is usually diagnosed by imaging. 18F-FDG-PET, MRI, CT angiography and ultrasound are used for this purpose. At present, the optimal diagnostic strategy is undetermined. The choice for a particular modality can be guided by the clinical scenario that raises suspicion of extracranial GCA, in addition to local availability and expertise. Extracranial complications in GCA consist of aortic aneurysm or dissection (mainly the ascending aorta), aortic arch syndrome, arm claudication and posterior stroke (although this is technically a cranial complication, it often results from stenosis of the vertebrobasilar arteries). Mortality is generally not increased in patients with GCA. Treatment of patients with solitary extracranial and those with extracranial and cranial GCA has been debated in the recent literature. In general, the same strategy is applied as in patients with temporal arteritis, although criteria regarding who to treat are unclear. Surgical procedures may be indicated, in which case optimal medical treatment prior to surgery is important.","author":[{"dropping-particle":"","family":"Lensen","given":"K. D.F.","non-dropping-particle":"","parse-names":false,"suffix":""},{"dropping-particle":"","family":"Voskuyl","given":"A. E.","non-dropping-particle":"","parse-names":false,"suffix":""},{"dropping-particle":"","family":"Comans","given":"E. F.I.","non-dropping-particle":"","parse-names":false,"suffix":""},{"dropping-particle":"","family":"Laken","given":"C. J.","non-dropping-particle":"van der","parse-names":false,"suffix":""},{"dropping-particle":"","family":"Smulders","given":"Y. M.","non-dropping-particle":"","parse-names":false,"suffix":""}],"container-title":"Netherlands Journal of Medicine","id":"ITEM-1","issue":"5","issued":{"date-parts":[["2016"]]},"page":"182-192","title":"Extracranial giant cell arteritis: A narrative review","type":"article-journal","volume":"74"},"uris":["http://www.mendeley.com/documents/?uuid=e0f6e6de-296c-4c57-81b1-02a05decd7ea"]}],"mendeley":{"formattedCitation":"&lt;sup&gt;2&lt;/sup&gt;","plainTextFormattedCitation":"2","previouslyFormattedCitation":"&lt;sup&gt;2&lt;/sup&gt;"},"properties":{"noteIndex":0},"schema":"https://github.com/citation-style-language/schema/raw/master/csl-citation.json"}</w:instrText>
      </w:r>
      <w:r w:rsidR="00405862" w:rsidRPr="0023741C">
        <w:rPr>
          <w:rFonts w:ascii="Times New Roman" w:hAnsi="Times New Roman" w:cs="Times New Roman"/>
          <w:sz w:val="24"/>
          <w:szCs w:val="24"/>
        </w:rPr>
        <w:fldChar w:fldCharType="separate"/>
      </w:r>
      <w:r w:rsidR="00C41B3B" w:rsidRPr="0023741C">
        <w:rPr>
          <w:rFonts w:ascii="Times New Roman" w:hAnsi="Times New Roman" w:cs="Times New Roman"/>
          <w:noProof/>
          <w:sz w:val="24"/>
          <w:szCs w:val="24"/>
          <w:vertAlign w:val="superscript"/>
        </w:rPr>
        <w:t>2</w:t>
      </w:r>
      <w:r w:rsidR="00405862" w:rsidRPr="0023741C">
        <w:rPr>
          <w:rFonts w:ascii="Times New Roman" w:hAnsi="Times New Roman" w:cs="Times New Roman"/>
          <w:sz w:val="24"/>
          <w:szCs w:val="24"/>
        </w:rPr>
        <w:fldChar w:fldCharType="end"/>
      </w:r>
      <w:r w:rsidRPr="0023741C">
        <w:rPr>
          <w:rFonts w:ascii="Times New Roman" w:hAnsi="Times New Roman" w:cs="Times New Roman"/>
          <w:sz w:val="24"/>
          <w:szCs w:val="24"/>
        </w:rPr>
        <w:t>.</w:t>
      </w:r>
    </w:p>
    <w:p w14:paraId="710E94D6" w14:textId="77777777" w:rsidR="004258B6" w:rsidRDefault="004258B6" w:rsidP="00C25BDF">
      <w:pPr>
        <w:spacing w:line="480" w:lineRule="auto"/>
        <w:rPr>
          <w:rFonts w:ascii="Times New Roman" w:hAnsi="Times New Roman" w:cs="Times New Roman"/>
        </w:rPr>
      </w:pPr>
    </w:p>
    <w:p w14:paraId="5770BA5F" w14:textId="77777777" w:rsidR="00AC1AE3" w:rsidRPr="00AC1AE3" w:rsidRDefault="00AC1AE3" w:rsidP="009464C3">
      <w:pPr>
        <w:spacing w:line="360" w:lineRule="auto"/>
        <w:rPr>
          <w:rFonts w:ascii="Times New Roman" w:hAnsi="Times New Roman" w:cs="Times New Roman"/>
          <w:color w:val="FF0000"/>
        </w:rPr>
      </w:pPr>
    </w:p>
    <w:p w14:paraId="1AAAA641" w14:textId="77777777" w:rsidR="00AC1AE3" w:rsidRDefault="00AC1AE3" w:rsidP="009464C3">
      <w:pPr>
        <w:spacing w:line="360" w:lineRule="auto"/>
        <w:rPr>
          <w:rFonts w:ascii="Times New Roman" w:hAnsi="Times New Roman" w:cs="Times New Roman"/>
        </w:rPr>
      </w:pPr>
    </w:p>
    <w:p w14:paraId="1FB8D9FE" w14:textId="77777777" w:rsidR="00AC1AE3" w:rsidRDefault="00AC1AE3" w:rsidP="009464C3">
      <w:pPr>
        <w:spacing w:line="360" w:lineRule="auto"/>
        <w:rPr>
          <w:rFonts w:ascii="Times New Roman" w:hAnsi="Times New Roman" w:cs="Times New Roman"/>
          <w:color w:val="4F81BD" w:themeColor="accent1"/>
        </w:rPr>
      </w:pPr>
    </w:p>
    <w:p w14:paraId="118F989A" w14:textId="5798EF4D" w:rsidR="005A6840" w:rsidRPr="0023741C" w:rsidRDefault="0023741C" w:rsidP="00E340A5">
      <w:pPr>
        <w:spacing w:line="360" w:lineRule="auto"/>
        <w:rPr>
          <w:rFonts w:ascii="Times New Roman" w:hAnsi="Times New Roman" w:cs="Times New Roman"/>
          <w:color w:val="4F81BD" w:themeColor="accent1"/>
          <w:sz w:val="20"/>
          <w:szCs w:val="20"/>
        </w:rPr>
      </w:pPr>
      <w:r w:rsidRPr="0023741C">
        <w:rPr>
          <w:rFonts w:ascii="Times New Roman" w:hAnsi="Times New Roman" w:cs="Times New Roman"/>
          <w:b/>
          <w:noProof/>
          <w:color w:val="FF0000"/>
          <w:sz w:val="20"/>
          <w:szCs w:val="20"/>
          <w:lang w:eastAsia="it-IT"/>
        </w:rPr>
        <w:lastRenderedPageBreak/>
        <w:drawing>
          <wp:anchor distT="0" distB="0" distL="114300" distR="114300" simplePos="0" relativeHeight="251655168" behindDoc="0" locked="0" layoutInCell="1" allowOverlap="1" wp14:anchorId="0F13ABF9" wp14:editId="75481F27">
            <wp:simplePos x="0" y="0"/>
            <wp:positionH relativeFrom="column">
              <wp:posOffset>3175</wp:posOffset>
            </wp:positionH>
            <wp:positionV relativeFrom="paragraph">
              <wp:posOffset>-74988</wp:posOffset>
            </wp:positionV>
            <wp:extent cx="1775460" cy="4411980"/>
            <wp:effectExtent l="0" t="0" r="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7-year-old female patient with clinical and PET-CT findings of giant cell arteritis. Coronal PET (a) and PET-CT (b) scans demonstrate the inflammatory involvement of aortic arch and abdominal aorta (void arrows), which is 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5460" cy="4411980"/>
                    </a:xfrm>
                    <a:prstGeom prst="rect">
                      <a:avLst/>
                    </a:prstGeom>
                  </pic:spPr>
                </pic:pic>
              </a:graphicData>
            </a:graphic>
            <wp14:sizeRelH relativeFrom="margin">
              <wp14:pctWidth>0</wp14:pctWidth>
            </wp14:sizeRelH>
            <wp14:sizeRelV relativeFrom="margin">
              <wp14:pctHeight>0</wp14:pctHeight>
            </wp14:sizeRelV>
          </wp:anchor>
        </w:drawing>
      </w:r>
      <w:r w:rsidR="0028625C" w:rsidRPr="0023741C">
        <w:rPr>
          <w:rFonts w:ascii="Times New Roman" w:hAnsi="Times New Roman" w:cs="Times New Roman"/>
          <w:b/>
          <w:sz w:val="20"/>
          <w:szCs w:val="20"/>
        </w:rPr>
        <w:t>Figura 7.</w:t>
      </w:r>
      <w:r w:rsidR="0028625C" w:rsidRPr="0023741C">
        <w:rPr>
          <w:rFonts w:ascii="Times New Roman" w:hAnsi="Times New Roman" w:cs="Times New Roman"/>
          <w:sz w:val="20"/>
          <w:szCs w:val="20"/>
        </w:rPr>
        <w:t xml:space="preserve"> Esame PET-TC di una paziente di 77 anni affetta da AGC. L’esame evidenzia il coinvolgimento</w:t>
      </w:r>
      <w:r w:rsidR="0028625C" w:rsidRPr="0023741C">
        <w:rPr>
          <w:rFonts w:ascii="Times New Roman" w:hAnsi="Times New Roman" w:cs="Times New Roman"/>
          <w:color w:val="4F81BD" w:themeColor="accent1"/>
          <w:sz w:val="20"/>
          <w:szCs w:val="20"/>
        </w:rPr>
        <w:t xml:space="preserve"> </w:t>
      </w:r>
      <w:r w:rsidR="004258B6" w:rsidRPr="0023741C">
        <w:rPr>
          <w:rFonts w:ascii="Times New Roman" w:hAnsi="Times New Roman" w:cs="Times New Roman"/>
          <w:sz w:val="20"/>
          <w:szCs w:val="20"/>
        </w:rPr>
        <w:t xml:space="preserve">infiammatorio dell’arco aortico e dell’aorta addominale </w:t>
      </w:r>
      <w:r w:rsidR="004258B6" w:rsidRPr="0023741C">
        <w:rPr>
          <w:rFonts w:ascii="Times New Roman" w:hAnsi="Times New Roman" w:cs="Times New Roman"/>
          <w:sz w:val="20"/>
          <w:szCs w:val="20"/>
        </w:rPr>
        <w:fldChar w:fldCharType="begin" w:fldLock="1"/>
      </w:r>
      <w:r w:rsidR="004F08FB" w:rsidRPr="0023741C">
        <w:rPr>
          <w:rFonts w:ascii="Times New Roman" w:hAnsi="Times New Roman" w:cs="Times New Roman"/>
          <w:sz w:val="20"/>
          <w:szCs w:val="20"/>
        </w:rPr>
        <w:instrText>ADDIN CSL_CITATION {"citationItems":[{"id":"ITEM-1","itemData":{"DOI":"10.1155/2014/574248","abstract":"Giant cell arteritis (GCA) is the most common vasculitis affecting medium and large vessels. It shows a close clinical association with polymyalgia rheumatica (PMR), a musculoskeletal inflammatory disorder, which is clinically characterized by girdles pain and stiffness. 18F-Fluorodeoxyglucose (18F-FDG) positron emission tomography (PET) is an effective tool for the diagnosis, grading, and follow-up of patients affected by GCA involving the aorta and its proximal branches, but the lack of a standardized method for the assessment of vascular inflammation remains a critical issue, potentially leading to misclassification. In our systematic review, including 19 original articles for a total of 442 GCA patients (with or without PMR symptoms) and 535 healthy controls, we described the different qualitative, semiquantitative and combined methods that have been proposed throughout the literature for assessing the presence and grading the severity of GCA-related vascular inflammation on 18F-FDG PET scans, focusing on the diagnostic performance and examining their respective advantages and limitations. The majority of the included studies adopted qualitative methods of PET image analysis, which are less sensitive but more specific than semiquantitative ones. Among the semiquantitative approaches, the aortic-to-blood pool uptake ratio of the aortic arch seems to be the most accurate method.","author":[{"dropping-particle":"","family":"Puppo","given":"Cristina","non-dropping-particle":"","parse-names":false,"suffix":""},{"dropping-particle":"","family":"Massollo","given":"Michela","non-dropping-particle":"","parse-names":false,"suffix":""},{"dropping-particle":"","family":"Paparo","given":"Francesco","non-dropping-particle":"","parse-names":false,"suffix":""},{"dropping-particle":"","family":"Camellino","given":"Dario","non-dropping-particle":"","parse-names":false,"suffix":""},{"dropping-particle":"","family":"Piccardo","given":"Arnoldo","non-dropping-particle":"","parse-names":false,"suffix":""},{"dropping-particle":"","family":"Shoushtari","given":"Mehrdad","non-dropping-particle":"","parse-names":false,"suffix":""},{"dropping-particle":"","family":"Naseri","given":"Zadeh","non-dropping-particle":"","parse-names":false,"suffix":""},{"dropping-particle":"","family":"Villavecchia","given":"Giampiero","non-dropping-particle":"","parse-names":false,"suffix":""},{"dropping-particle":"","family":"Rollandi","given":"Gian Andrea","non-dropping-particle":"","parse-names":false,"suffix":""},{"dropping-particle":"","family":"Cimmino","given":"Marco Amedeo","non-dropping-particle":"","parse-names":false,"suffix":""}],"id":"ITEM-1","issued":{"date-parts":[["2014"]]},"page":"1-11","publisher":"Hindawi Publishing Corporation","title":"Giant Cell Arteritis : A Systematic Review of the Qualitative and Semiquantitative Methods to Assess Vasculitis with 18F-Fluorodeoxyglucose Positron Emission Tomography","type":"article-journal","volume":"2014"},"uris":["http://www.mendeley.com/documents/?uuid=c7dd98cc-58e7-48ea-9d2d-b2ee55af7fe2"]}],"mendeley":{"formattedCitation":"&lt;sup&gt;35&lt;/sup&gt;","plainTextFormattedCitation":"35","previouslyFormattedCitation":"&lt;sup&gt;35&lt;/sup&gt;"},"properties":{"noteIndex":0},"schema":"https://github.com/citation-style-language/schema/raw/master/csl-citation.json"}</w:instrText>
      </w:r>
      <w:r w:rsidR="004258B6" w:rsidRPr="0023741C">
        <w:rPr>
          <w:rFonts w:ascii="Times New Roman" w:hAnsi="Times New Roman" w:cs="Times New Roman"/>
          <w:sz w:val="20"/>
          <w:szCs w:val="20"/>
        </w:rPr>
        <w:fldChar w:fldCharType="separate"/>
      </w:r>
      <w:r w:rsidR="007F7780" w:rsidRPr="0023741C">
        <w:rPr>
          <w:rFonts w:ascii="Times New Roman" w:hAnsi="Times New Roman" w:cs="Times New Roman"/>
          <w:noProof/>
          <w:sz w:val="20"/>
          <w:szCs w:val="20"/>
          <w:vertAlign w:val="superscript"/>
        </w:rPr>
        <w:t>35</w:t>
      </w:r>
      <w:r w:rsidR="004258B6" w:rsidRPr="0023741C">
        <w:rPr>
          <w:rFonts w:ascii="Times New Roman" w:hAnsi="Times New Roman" w:cs="Times New Roman"/>
          <w:sz w:val="20"/>
          <w:szCs w:val="20"/>
        </w:rPr>
        <w:fldChar w:fldCharType="end"/>
      </w:r>
      <w:r w:rsidR="004258B6" w:rsidRPr="0023741C">
        <w:rPr>
          <w:rFonts w:ascii="Times New Roman" w:hAnsi="Times New Roman" w:cs="Times New Roman"/>
          <w:sz w:val="20"/>
          <w:szCs w:val="20"/>
        </w:rPr>
        <w:t>.</w:t>
      </w:r>
    </w:p>
    <w:p w14:paraId="7B50BBC6" w14:textId="77777777" w:rsidR="0023741C" w:rsidRDefault="0023741C" w:rsidP="004258B6">
      <w:pPr>
        <w:spacing w:line="480" w:lineRule="auto"/>
        <w:rPr>
          <w:rFonts w:ascii="Times New Roman" w:hAnsi="Times New Roman" w:cs="Times New Roman"/>
        </w:rPr>
      </w:pPr>
    </w:p>
    <w:p w14:paraId="3F27C923" w14:textId="77777777" w:rsidR="0023741C" w:rsidRDefault="0023741C" w:rsidP="004258B6">
      <w:pPr>
        <w:spacing w:line="480" w:lineRule="auto"/>
        <w:rPr>
          <w:rFonts w:ascii="Times New Roman" w:hAnsi="Times New Roman" w:cs="Times New Roman"/>
        </w:rPr>
      </w:pPr>
    </w:p>
    <w:p w14:paraId="09F86404" w14:textId="77777777" w:rsidR="0023741C" w:rsidRDefault="0023741C" w:rsidP="004258B6">
      <w:pPr>
        <w:spacing w:line="480" w:lineRule="auto"/>
        <w:rPr>
          <w:rFonts w:ascii="Times New Roman" w:hAnsi="Times New Roman" w:cs="Times New Roman"/>
        </w:rPr>
      </w:pPr>
    </w:p>
    <w:p w14:paraId="3A4FDA53" w14:textId="77777777" w:rsidR="0023741C" w:rsidRDefault="0023741C" w:rsidP="004258B6">
      <w:pPr>
        <w:spacing w:line="480" w:lineRule="auto"/>
        <w:rPr>
          <w:rFonts w:ascii="Times New Roman" w:hAnsi="Times New Roman" w:cs="Times New Roman"/>
        </w:rPr>
      </w:pPr>
    </w:p>
    <w:p w14:paraId="13E5B317" w14:textId="77777777" w:rsidR="0023741C" w:rsidRDefault="0023741C" w:rsidP="004258B6">
      <w:pPr>
        <w:spacing w:line="480" w:lineRule="auto"/>
        <w:rPr>
          <w:rFonts w:ascii="Times New Roman" w:hAnsi="Times New Roman" w:cs="Times New Roman"/>
        </w:rPr>
      </w:pPr>
    </w:p>
    <w:p w14:paraId="19086209" w14:textId="77777777" w:rsidR="0023741C" w:rsidRDefault="0023741C" w:rsidP="004258B6">
      <w:pPr>
        <w:spacing w:line="480" w:lineRule="auto"/>
        <w:rPr>
          <w:rFonts w:ascii="Times New Roman" w:hAnsi="Times New Roman" w:cs="Times New Roman"/>
        </w:rPr>
      </w:pPr>
    </w:p>
    <w:p w14:paraId="7A3747D9" w14:textId="77777777" w:rsidR="0023741C" w:rsidRDefault="0023741C" w:rsidP="004258B6">
      <w:pPr>
        <w:spacing w:line="480" w:lineRule="auto"/>
        <w:rPr>
          <w:rFonts w:ascii="Times New Roman" w:hAnsi="Times New Roman" w:cs="Times New Roman"/>
        </w:rPr>
      </w:pPr>
    </w:p>
    <w:p w14:paraId="16B61ABC" w14:textId="77777777" w:rsidR="0023741C" w:rsidRDefault="0023741C" w:rsidP="004258B6">
      <w:pPr>
        <w:spacing w:line="480" w:lineRule="auto"/>
        <w:rPr>
          <w:rFonts w:ascii="Times New Roman" w:hAnsi="Times New Roman" w:cs="Times New Roman"/>
        </w:rPr>
      </w:pPr>
    </w:p>
    <w:p w14:paraId="4CDE0FAE" w14:textId="6E4636ED" w:rsidR="001A08BD" w:rsidRPr="00430492" w:rsidRDefault="001A08BD" w:rsidP="004258B6">
      <w:pPr>
        <w:spacing w:line="480" w:lineRule="auto"/>
        <w:rPr>
          <w:rFonts w:ascii="Times New Roman" w:hAnsi="Times New Roman" w:cs="Times New Roman"/>
          <w:color w:val="4F81BD" w:themeColor="accent1"/>
          <w:sz w:val="24"/>
          <w:szCs w:val="24"/>
        </w:rPr>
      </w:pPr>
      <w:r w:rsidRPr="00430492">
        <w:rPr>
          <w:rFonts w:ascii="Times New Roman" w:hAnsi="Times New Roman" w:cs="Times New Roman"/>
          <w:sz w:val="24"/>
          <w:szCs w:val="24"/>
        </w:rPr>
        <w:t xml:space="preserve">Data la sempre maggior importanza delle tecniche di imaging nella diagnosi delle vasculiti dei grossi vasi, come AGC e arterite di Takayasu (TAK), sono state sviluppate, da parte dell’EULAR (European League Against Rheumatism), delle linee guida evidence-based per indirizzare nell’utilizzo di queste tecniche durante la partica clinica </w:t>
      </w:r>
      <w:r w:rsidR="00405862" w:rsidRPr="00430492">
        <w:rPr>
          <w:rFonts w:ascii="Times New Roman" w:hAnsi="Times New Roman" w:cs="Times New Roman"/>
          <w:sz w:val="24"/>
          <w:szCs w:val="24"/>
        </w:rPr>
        <w:fldChar w:fldCharType="begin" w:fldLock="1"/>
      </w:r>
      <w:r w:rsidR="004F08FB" w:rsidRPr="00430492">
        <w:rPr>
          <w:rFonts w:ascii="Times New Roman" w:hAnsi="Times New Roman" w:cs="Times New Roman"/>
          <w:sz w:val="24"/>
          <w:szCs w:val="24"/>
        </w:rPr>
        <w:instrText>ADDIN CSL_CITATION {"citationItems":[{"id":"ITEM-1","itemData":{"DOI":"10.1136/annrheumdis-2017-212649","author":[{"dropping-particle":"","family":"Dejaco","given":"Christian","non-dropping-particle":"","parse-names":false,"suffix":""},{"dropping-particle":"","family":"Ramiro","given":"Sofia","non-dropping-particle":"","parse-names":false,"suffix":""},{"dropping-particle":"","family":"Duftner","given":"Christina","non-dropping-particle":"","parse-names":false,"suffix":""},{"dropping-particle":"","family":"Besson","given":"Florent L","non-dropping-particle":"","parse-names":false,"suffix":""},{"dropping-particle":"","family":"Bley","given":"Thorsten A","non-dropping-particle":"","parse-names":false,"suffix":""},{"dropping-particle":"","family":"Blockmans","given":"Daniel","non-dropping-particle":"","parse-names":false,"suffix":""},{"dropping-particle":"","family":"Brouwer","given":"Elisabeth","non-dropping-particle":"","parse-names":false,"suffix":""},{"dropping-particle":"","family":"Cimmino","given":"Marco A","non-dropping-particle":"","parse-names":false,"suffix":""},{"dropping-particle":"","family":"Clark","given":"Eric","non-dropping-particle":"","parse-names":false,"suffix":""},{"dropping-particle":"","family":"Dasgupta","given":"Bhaskar","non-dropping-particle":"","parse-names":false,"suffix":""},{"dropping-particle":"","family":"Diamantopoulos","given":"Andreas P","non-dropping-particle":"","parse-names":false,"suffix":""},{"dropping-particle":"","family":"Direskeneli","given":"Haner","non-dropping-particle":"","parse-names":false,"suffix":""},{"dropping-particle":"","family":"Iagnocco","given":"Annamaria","non-dropping-particle":"","parse-names":false,"suffix":""},{"dropping-particle":"","family":"Klink","given":"Thorsten","non-dropping-particle":"","parse-names":false,"suffix":""},{"dropping-particle":"","family":"Neill","given":"Lorna","non-dropping-particle":"","parse-names":false,"suffix":""},{"dropping-particle":"","family":"Ponte","given":"Cristina","non-dropping-particle":"","parse-names":false,"suffix":""},{"dropping-particle":"","family":"Salvarani","given":"Carlo","non-dropping-particle":"","parse-names":false,"suffix":""},{"dropping-particle":"","family":"Slart","given":"Riemer H J A","non-dropping-particle":"","parse-names":false,"suffix":""},{"dropping-particle":"","family":"Whitlock","given":"Madeline","non-dropping-particle":"","parse-names":false,"suffix":""},{"dropping-particle":"","family":"Schmidt","given":"Wolfgang A","non-dropping-particle":"","parse-names":false,"suffix":""}],"id":"ITEM-1","issue":"1","issued":{"date-parts":[["2018"]]},"page":"636-643","title":"EULAR recommendations for the use of imaging in large vessel vasculitis in clinical practice","type":"article-journal"},"uris":["http://www.mendeley.com/documents/?uuid=ad278b83-be83-4441-888f-506a9ff1638c"]}],"mendeley":{"formattedCitation":"&lt;sup&gt;36&lt;/sup&gt;","plainTextFormattedCitation":"36","previouslyFormattedCitation":"&lt;sup&gt;36&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7F7780" w:rsidRPr="00430492">
        <w:rPr>
          <w:rFonts w:ascii="Times New Roman" w:hAnsi="Times New Roman" w:cs="Times New Roman"/>
          <w:noProof/>
          <w:sz w:val="24"/>
          <w:szCs w:val="24"/>
          <w:vertAlign w:val="superscript"/>
        </w:rPr>
        <w:t>36</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7E0C67D7" w14:textId="5A51035D" w:rsidR="001A08BD"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Sono state formulate un totale di 12 raccomandazioni per l’uso delle tecniche di imaging nella diagnosi delle vasculiti dei grossi vasi in pratica clinica, condivise da un gruppo di esperti proveniente di 10 diversi paesi aderenti all’EULAR</w:t>
      </w:r>
      <w:r w:rsidR="00405862" w:rsidRPr="00430492">
        <w:rPr>
          <w:rFonts w:ascii="Times New Roman" w:hAnsi="Times New Roman" w:cs="Times New Roman"/>
          <w:sz w:val="24"/>
          <w:szCs w:val="24"/>
        </w:rPr>
        <w:fldChar w:fldCharType="begin" w:fldLock="1"/>
      </w:r>
      <w:r w:rsidR="004F08FB" w:rsidRPr="00430492">
        <w:rPr>
          <w:rFonts w:ascii="Times New Roman" w:hAnsi="Times New Roman" w:cs="Times New Roman"/>
          <w:sz w:val="24"/>
          <w:szCs w:val="24"/>
        </w:rPr>
        <w:instrText>ADDIN CSL_CITATION {"citationItems":[{"id":"ITEM-1","itemData":{"DOI":"10.1136/annrheumdis-2017-212649","author":[{"dropping-particle":"","family":"Dejaco","given":"Christian","non-dropping-particle":"","parse-names":false,"suffix":""},{"dropping-particle":"","family":"Ramiro","given":"Sofia","non-dropping-particle":"","parse-names":false,"suffix":""},{"dropping-particle":"","family":"Duftner","given":"Christina","non-dropping-particle":"","parse-names":false,"suffix":""},{"dropping-particle":"","family":"Besson","given":"Florent L","non-dropping-particle":"","parse-names":false,"suffix":""},{"dropping-particle":"","family":"Bley","given":"Thorsten A","non-dropping-particle":"","parse-names":false,"suffix":""},{"dropping-particle":"","family":"Blockmans","given":"Daniel","non-dropping-particle":"","parse-names":false,"suffix":""},{"dropping-particle":"","family":"Brouwer","given":"Elisabeth","non-dropping-particle":"","parse-names":false,"suffix":""},{"dropping-particle":"","family":"Cimmino","given":"Marco A","non-dropping-particle":"","parse-names":false,"suffix":""},{"dropping-particle":"","family":"Clark","given":"Eric","non-dropping-particle":"","parse-names":false,"suffix":""},{"dropping-particle":"","family":"Dasgupta","given":"Bhaskar","non-dropping-particle":"","parse-names":false,"suffix":""},{"dropping-particle":"","family":"Diamantopoulos","given":"Andreas P","non-dropping-particle":"","parse-names":false,"suffix":""},{"dropping-particle":"","family":"Direskeneli","given":"Haner","non-dropping-particle":"","parse-names":false,"suffix":""},{"dropping-particle":"","family":"Iagnocco","given":"Annamaria","non-dropping-particle":"","parse-names":false,"suffix":""},{"dropping-particle":"","family":"Klink","given":"Thorsten","non-dropping-particle":"","parse-names":false,"suffix":""},{"dropping-particle":"","family":"Neill","given":"Lorna","non-dropping-particle":"","parse-names":false,"suffix":""},{"dropping-particle":"","family":"Ponte","given":"Cristina","non-dropping-particle":"","parse-names":false,"suffix":""},{"dropping-particle":"","family":"Salvarani","given":"Carlo","non-dropping-particle":"","parse-names":false,"suffix":""},{"dropping-particle":"","family":"Slart","given":"Riemer H J A","non-dropping-particle":"","parse-names":false,"suffix":""},{"dropping-particle":"","family":"Whitlock","given":"Madeline","non-dropping-particle":"","parse-names":false,"suffix":""},{"dropping-particle":"","family":"Schmidt","given":"Wolfgang A","non-dropping-particle":"","parse-names":false,"suffix":""}],"id":"ITEM-1","issue":"1","issued":{"date-parts":[["2018"]]},"page":"636-643","title":"EULAR recommendations for the use of imaging in large vessel vasculitis in clinical practice","type":"article-journal"},"uris":["http://www.mendeley.com/documents/?uuid=ad278b83-be83-4441-888f-506a9ff1638c"]}],"mendeley":{"formattedCitation":"&lt;sup&gt;36&lt;/sup&gt;","plainTextFormattedCitation":"36","previouslyFormattedCitation":"&lt;sup&gt;36&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7F7780" w:rsidRPr="00430492">
        <w:rPr>
          <w:rFonts w:ascii="Times New Roman" w:hAnsi="Times New Roman" w:cs="Times New Roman"/>
          <w:noProof/>
          <w:sz w:val="24"/>
          <w:szCs w:val="24"/>
          <w:vertAlign w:val="superscript"/>
        </w:rPr>
        <w:t>36</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 xml:space="preserve">. </w:t>
      </w:r>
    </w:p>
    <w:p w14:paraId="3CF896F2"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In pazienti con sospetta AGC, è raccomandato eseguire precocemente i test di imaging a completamento dei criteri clinici di diagnosi di AGC, presupponendo pront</w:t>
      </w:r>
      <w:r w:rsidR="00530F91" w:rsidRPr="00430492">
        <w:rPr>
          <w:rFonts w:ascii="Times New Roman" w:hAnsi="Times New Roman"/>
          <w:sz w:val="24"/>
          <w:szCs w:val="24"/>
        </w:rPr>
        <w:t>a</w:t>
      </w:r>
      <w:r w:rsidRPr="00430492">
        <w:rPr>
          <w:rFonts w:ascii="Times New Roman" w:hAnsi="Times New Roman"/>
          <w:sz w:val="24"/>
          <w:szCs w:val="24"/>
        </w:rPr>
        <w:t xml:space="preserve"> disponibilità </w:t>
      </w:r>
      <w:r w:rsidR="00530F91" w:rsidRPr="00430492">
        <w:rPr>
          <w:rFonts w:ascii="Times New Roman" w:hAnsi="Times New Roman"/>
          <w:sz w:val="24"/>
          <w:szCs w:val="24"/>
        </w:rPr>
        <w:t>delle metodiche di indagine e</w:t>
      </w:r>
      <w:r w:rsidRPr="00430492">
        <w:rPr>
          <w:rFonts w:ascii="Times New Roman" w:hAnsi="Times New Roman"/>
          <w:sz w:val="24"/>
          <w:szCs w:val="24"/>
        </w:rPr>
        <w:t xml:space="preserve"> </w:t>
      </w:r>
      <w:r w:rsidR="00530F91" w:rsidRPr="00430492">
        <w:rPr>
          <w:rFonts w:ascii="Times New Roman" w:hAnsi="Times New Roman"/>
          <w:sz w:val="24"/>
          <w:szCs w:val="24"/>
        </w:rPr>
        <w:t>del</w:t>
      </w:r>
      <w:r w:rsidRPr="00430492">
        <w:rPr>
          <w:rFonts w:ascii="Times New Roman" w:hAnsi="Times New Roman"/>
          <w:sz w:val="24"/>
          <w:szCs w:val="24"/>
        </w:rPr>
        <w:t xml:space="preserve">la </w:t>
      </w:r>
      <w:r w:rsidRPr="00430492">
        <w:rPr>
          <w:rFonts w:ascii="Times New Roman" w:hAnsi="Times New Roman"/>
          <w:sz w:val="24"/>
          <w:szCs w:val="24"/>
        </w:rPr>
        <w:lastRenderedPageBreak/>
        <w:t>competenza necessaria al loro utilizzo. L'esecuzione dell'imaging non deve in ogni caso ritardare l'inizio del trattamento</w:t>
      </w:r>
    </w:p>
    <w:p w14:paraId="27C394DD" w14:textId="77777777" w:rsidR="001A08BD" w:rsidRPr="00430492" w:rsidRDefault="00530F91"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N</w:t>
      </w:r>
      <w:r w:rsidR="001A08BD" w:rsidRPr="00430492">
        <w:rPr>
          <w:rFonts w:ascii="Times New Roman" w:hAnsi="Times New Roman"/>
          <w:sz w:val="24"/>
          <w:szCs w:val="24"/>
        </w:rPr>
        <w:t>ei pazienti con elevato sospetto clinico per AGC e reperti di imaging positivi, si dovrebbe porre diagnosi di AGC senza ulteriori test (biopsia o ulteriori test di imaging). In pazienti con bassa probabilità clinica e imaging negativo, la diagnosi di AGC dovrebbe essere ritenuta improbabile. In tutte le altre situazioni sono necessari ulteriori approfondimenti</w:t>
      </w:r>
    </w:p>
    <w:p w14:paraId="153298B0"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Gli esami ecografici delle arterie temporali ed ascellari dovrebbero essere eseguiti come prima indagine nei pazienti con sospetto di AGC craniale. Il ri</w:t>
      </w:r>
      <w:r w:rsidR="00530F91" w:rsidRPr="00430492">
        <w:rPr>
          <w:rFonts w:ascii="Times New Roman" w:hAnsi="Times New Roman"/>
          <w:sz w:val="24"/>
          <w:szCs w:val="24"/>
        </w:rPr>
        <w:t>scontro</w:t>
      </w:r>
      <w:r w:rsidRPr="00430492">
        <w:rPr>
          <w:rFonts w:ascii="Times New Roman" w:hAnsi="Times New Roman"/>
          <w:sz w:val="24"/>
          <w:szCs w:val="24"/>
        </w:rPr>
        <w:t xml:space="preserve"> di "halo sign" non comprimibile è il </w:t>
      </w:r>
      <w:r w:rsidR="00530F91" w:rsidRPr="00430492">
        <w:rPr>
          <w:rFonts w:ascii="Times New Roman" w:hAnsi="Times New Roman"/>
          <w:sz w:val="24"/>
          <w:szCs w:val="24"/>
        </w:rPr>
        <w:t xml:space="preserve">segno </w:t>
      </w:r>
      <w:r w:rsidRPr="00430492">
        <w:rPr>
          <w:rFonts w:ascii="Times New Roman" w:hAnsi="Times New Roman"/>
          <w:sz w:val="24"/>
          <w:szCs w:val="24"/>
        </w:rPr>
        <w:t>più suggestivo di AGC</w:t>
      </w:r>
    </w:p>
    <w:p w14:paraId="51184678"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La RM ad alta risoluzione delle arterie craniche per indagare infiammazione murale dovrebbe essere utilizzata per porre diagnosi di AGC nel caso in cui l'</w:t>
      </w:r>
      <w:r w:rsidR="00530F91" w:rsidRPr="00430492">
        <w:rPr>
          <w:rFonts w:ascii="Times New Roman" w:hAnsi="Times New Roman"/>
          <w:sz w:val="24"/>
          <w:szCs w:val="24"/>
        </w:rPr>
        <w:t>e</w:t>
      </w:r>
      <w:r w:rsidRPr="00430492">
        <w:rPr>
          <w:rFonts w:ascii="Times New Roman" w:hAnsi="Times New Roman"/>
          <w:sz w:val="24"/>
          <w:szCs w:val="24"/>
        </w:rPr>
        <w:t>co</w:t>
      </w:r>
      <w:r w:rsidR="00530F91" w:rsidRPr="00430492">
        <w:rPr>
          <w:rFonts w:ascii="Times New Roman" w:hAnsi="Times New Roman"/>
          <w:sz w:val="24"/>
          <w:szCs w:val="24"/>
        </w:rPr>
        <w:t>grafia</w:t>
      </w:r>
      <w:r w:rsidRPr="00430492">
        <w:rPr>
          <w:rFonts w:ascii="Times New Roman" w:hAnsi="Times New Roman"/>
          <w:sz w:val="24"/>
          <w:szCs w:val="24"/>
        </w:rPr>
        <w:t xml:space="preserve"> non sia accessibile o non sia stat</w:t>
      </w:r>
      <w:r w:rsidR="00530F91" w:rsidRPr="00430492">
        <w:rPr>
          <w:rFonts w:ascii="Times New Roman" w:hAnsi="Times New Roman"/>
          <w:sz w:val="24"/>
          <w:szCs w:val="24"/>
        </w:rPr>
        <w:t>a</w:t>
      </w:r>
      <w:r w:rsidRPr="00430492">
        <w:rPr>
          <w:rFonts w:ascii="Times New Roman" w:hAnsi="Times New Roman"/>
          <w:sz w:val="24"/>
          <w:szCs w:val="24"/>
        </w:rPr>
        <w:t xml:space="preserve"> diagnostic</w:t>
      </w:r>
      <w:r w:rsidR="00530F91" w:rsidRPr="00430492">
        <w:rPr>
          <w:rFonts w:ascii="Times New Roman" w:hAnsi="Times New Roman"/>
          <w:sz w:val="24"/>
          <w:szCs w:val="24"/>
        </w:rPr>
        <w:t>a</w:t>
      </w:r>
    </w:p>
    <w:p w14:paraId="2B543BB7"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TC e PET non sono raccomandate per individuare l’infiammazione delle arterie craniche</w:t>
      </w:r>
    </w:p>
    <w:p w14:paraId="5983B851"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Ecografia, PET, RM, e/o TC dovrebbero essere utilizzate per individuare infiammazione murale e/o alterazioni del lume nelle arterie extracraniche per supportare la diagnosi di AGC. L'</w:t>
      </w:r>
      <w:r w:rsidR="00530F91" w:rsidRPr="00430492">
        <w:rPr>
          <w:rFonts w:ascii="Times New Roman" w:hAnsi="Times New Roman"/>
          <w:sz w:val="24"/>
          <w:szCs w:val="24"/>
        </w:rPr>
        <w:t>e</w:t>
      </w:r>
      <w:r w:rsidRPr="00430492">
        <w:rPr>
          <w:rFonts w:ascii="Times New Roman" w:hAnsi="Times New Roman"/>
          <w:sz w:val="24"/>
          <w:szCs w:val="24"/>
        </w:rPr>
        <w:t>co</w:t>
      </w:r>
      <w:r w:rsidR="00530F91" w:rsidRPr="00430492">
        <w:rPr>
          <w:rFonts w:ascii="Times New Roman" w:hAnsi="Times New Roman"/>
          <w:sz w:val="24"/>
          <w:szCs w:val="24"/>
        </w:rPr>
        <w:t xml:space="preserve">grafia </w:t>
      </w:r>
      <w:r w:rsidRPr="00430492">
        <w:rPr>
          <w:rFonts w:ascii="Times New Roman" w:hAnsi="Times New Roman"/>
          <w:sz w:val="24"/>
          <w:szCs w:val="24"/>
        </w:rPr>
        <w:t xml:space="preserve"> ha comunque un ruolo di limitato valore nella determinazione di aortite</w:t>
      </w:r>
    </w:p>
    <w:p w14:paraId="2D42D74A"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lastRenderedPageBreak/>
        <w:t>In pazienti con sospetta TAK, la RM, per individuare infiammazione murale e/o alterazioni del lume, dovrebbe essere il primo test di imaging effettuato, presupponendo fattibilità e competenza nell' esecuzione del test</w:t>
      </w:r>
    </w:p>
    <w:p w14:paraId="7849FFE1"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 xml:space="preserve">PET, TC e/o </w:t>
      </w:r>
      <w:r w:rsidR="00530F91" w:rsidRPr="00430492">
        <w:rPr>
          <w:rFonts w:ascii="Times New Roman" w:hAnsi="Times New Roman"/>
          <w:sz w:val="24"/>
          <w:szCs w:val="24"/>
        </w:rPr>
        <w:t>e</w:t>
      </w:r>
      <w:r w:rsidRPr="00430492">
        <w:rPr>
          <w:rFonts w:ascii="Times New Roman" w:hAnsi="Times New Roman"/>
          <w:sz w:val="24"/>
          <w:szCs w:val="24"/>
        </w:rPr>
        <w:t>cografia dovrebbero essere usate come tecniche di imaging alternative in pazienti con sospetta TAK. L'</w:t>
      </w:r>
      <w:r w:rsidR="00530F91" w:rsidRPr="00430492">
        <w:rPr>
          <w:rFonts w:ascii="Times New Roman" w:hAnsi="Times New Roman"/>
          <w:sz w:val="24"/>
          <w:szCs w:val="24"/>
        </w:rPr>
        <w:t>e</w:t>
      </w:r>
      <w:r w:rsidRPr="00430492">
        <w:rPr>
          <w:rFonts w:ascii="Times New Roman" w:hAnsi="Times New Roman"/>
          <w:sz w:val="24"/>
          <w:szCs w:val="24"/>
        </w:rPr>
        <w:t>cografia ha un ruolo limitato nell'indagine dell'aorta toracica</w:t>
      </w:r>
    </w:p>
    <w:p w14:paraId="49EA5E50"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L'angiografia convenzionale non è raccomandata per la diagnosi di AGC o TAK, in quanto superata dalle altre tecniche di imaging</w:t>
      </w:r>
    </w:p>
    <w:p w14:paraId="3F30FB67"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 xml:space="preserve">Nei pazienti con vasculite dei grossi vasi (AGC o TAK) in cui è sospettata una riattivazione della malattia, l'imaging </w:t>
      </w:r>
      <w:r w:rsidR="00530F91" w:rsidRPr="00430492">
        <w:rPr>
          <w:rFonts w:ascii="Times New Roman" w:hAnsi="Times New Roman"/>
          <w:sz w:val="24"/>
          <w:szCs w:val="24"/>
        </w:rPr>
        <w:t>potrebbe</w:t>
      </w:r>
      <w:r w:rsidRPr="00430492">
        <w:rPr>
          <w:rFonts w:ascii="Times New Roman" w:hAnsi="Times New Roman"/>
          <w:sz w:val="24"/>
          <w:szCs w:val="24"/>
        </w:rPr>
        <w:t xml:space="preserve"> essere di aiuto nel determinare o escludere l'evento. L'imaging non è raccomandato come routine nei pazienti in remissione</w:t>
      </w:r>
    </w:p>
    <w:p w14:paraId="55297E2D"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Nei pazienti affetti da AGC o TAK, esami TC, RM e/o ecografici dovrebbero essere utilizzat</w:t>
      </w:r>
      <w:r w:rsidR="00530F91" w:rsidRPr="00430492">
        <w:rPr>
          <w:rFonts w:ascii="Times New Roman" w:hAnsi="Times New Roman"/>
          <w:sz w:val="24"/>
          <w:szCs w:val="24"/>
        </w:rPr>
        <w:t>i</w:t>
      </w:r>
      <w:r w:rsidRPr="00430492">
        <w:rPr>
          <w:rFonts w:ascii="Times New Roman" w:hAnsi="Times New Roman"/>
          <w:sz w:val="24"/>
          <w:szCs w:val="24"/>
        </w:rPr>
        <w:t xml:space="preserve"> nel lungo periodo per monitorare il danno strutturale e in particolare per individuare stenosi, occlusioni, dilatazione e/o aneurismi. La frequenza dello screeening deve essere determinata caso per caso</w:t>
      </w:r>
    </w:p>
    <w:p w14:paraId="33DA636F" w14:textId="77777777" w:rsidR="001A08BD" w:rsidRPr="00430492" w:rsidRDefault="001A08BD" w:rsidP="004258B6">
      <w:pPr>
        <w:pStyle w:val="Paragrafoelenco"/>
        <w:numPr>
          <w:ilvl w:val="0"/>
          <w:numId w:val="29"/>
        </w:numPr>
        <w:spacing w:after="160" w:line="480" w:lineRule="auto"/>
        <w:rPr>
          <w:rFonts w:ascii="Times New Roman" w:hAnsi="Times New Roman"/>
          <w:sz w:val="24"/>
          <w:szCs w:val="24"/>
        </w:rPr>
      </w:pPr>
      <w:r w:rsidRPr="00430492">
        <w:rPr>
          <w:rFonts w:ascii="Times New Roman" w:hAnsi="Times New Roman"/>
          <w:sz w:val="24"/>
          <w:szCs w:val="24"/>
        </w:rPr>
        <w:t>I test di imaging dovrebbero essere effettuati da uno specialista, utilizzando equipaggiamento, procedure e setting appropriato. L'attendibilità dei risultati può essere implementata tramite una preparazione specifica dello specialista</w:t>
      </w:r>
    </w:p>
    <w:p w14:paraId="5C25600E" w14:textId="77777777" w:rsidR="001A08BD" w:rsidRPr="00F555AD" w:rsidRDefault="001A08BD" w:rsidP="004258B6">
      <w:pPr>
        <w:spacing w:line="480" w:lineRule="auto"/>
        <w:rPr>
          <w:rFonts w:ascii="Times New Roman" w:hAnsi="Times New Roman" w:cs="Times New Roman"/>
          <w:b/>
        </w:rPr>
      </w:pPr>
    </w:p>
    <w:p w14:paraId="20E2E4E9" w14:textId="77777777" w:rsidR="001A08BD" w:rsidRPr="00974501" w:rsidRDefault="001A08BD" w:rsidP="004258B6">
      <w:pPr>
        <w:pStyle w:val="Titolo2"/>
        <w:spacing w:line="480" w:lineRule="auto"/>
        <w:rPr>
          <w:rFonts w:ascii="Times New Roman" w:hAnsi="Times New Roman" w:cs="Times New Roman"/>
          <w:b w:val="0"/>
          <w:color w:val="auto"/>
          <w:sz w:val="24"/>
          <w:szCs w:val="24"/>
        </w:rPr>
      </w:pPr>
      <w:bookmarkStart w:id="8" w:name="_Toc12908072"/>
      <w:r w:rsidRPr="00974501">
        <w:rPr>
          <w:rFonts w:ascii="Times New Roman" w:hAnsi="Times New Roman" w:cs="Times New Roman"/>
          <w:color w:val="auto"/>
          <w:sz w:val="24"/>
          <w:szCs w:val="24"/>
        </w:rPr>
        <w:lastRenderedPageBreak/>
        <w:t>2.4</w:t>
      </w:r>
      <w:r w:rsidRPr="00E34ED2">
        <w:rPr>
          <w:rFonts w:ascii="Times New Roman" w:hAnsi="Times New Roman" w:cs="Times New Roman"/>
          <w:color w:val="auto"/>
          <w:sz w:val="28"/>
          <w:szCs w:val="28"/>
        </w:rPr>
        <w:t xml:space="preserve"> Terapia</w:t>
      </w:r>
      <w:bookmarkEnd w:id="8"/>
    </w:p>
    <w:p w14:paraId="3B7480BB" w14:textId="77777777" w:rsidR="001A08BD"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La terapia si basa sull’utilizzo di glucorticoidi (GC) alla dose di 40-60mg/die di prednisone o equivalenti di metilprednisolone. La risposta in genere è rapida, anche se in alcuni casi avviene solo entro un mese. La terapia va iniziata il prima possibile, i</w:t>
      </w:r>
      <w:r w:rsidR="00530F91" w:rsidRPr="00430492">
        <w:rPr>
          <w:rFonts w:ascii="Times New Roman" w:hAnsi="Times New Roman" w:cs="Times New Roman"/>
          <w:sz w:val="24"/>
          <w:szCs w:val="24"/>
        </w:rPr>
        <w:t xml:space="preserve">mmediatamente </w:t>
      </w:r>
      <w:r w:rsidRPr="00430492">
        <w:rPr>
          <w:rFonts w:ascii="Times New Roman" w:hAnsi="Times New Roman" w:cs="Times New Roman"/>
          <w:sz w:val="24"/>
          <w:szCs w:val="24"/>
        </w:rPr>
        <w:t>in caso di perdita del visus</w:t>
      </w:r>
      <w:r w:rsidRPr="00430492">
        <w:rPr>
          <w:rFonts w:ascii="Times New Roman" w:hAnsi="Times New Roman" w:cs="Times New Roman"/>
          <w:color w:val="4F81BD" w:themeColor="accent1"/>
          <w:sz w:val="24"/>
          <w:szCs w:val="24"/>
        </w:rPr>
        <w:t xml:space="preserve">; </w:t>
      </w:r>
      <w:r w:rsidRPr="00430492">
        <w:rPr>
          <w:rFonts w:ascii="Times New Roman" w:hAnsi="Times New Roman" w:cs="Times New Roman"/>
          <w:sz w:val="24"/>
          <w:szCs w:val="24"/>
        </w:rPr>
        <w:t xml:space="preserve">l’inizio precoce sembra infatti abbassare </w:t>
      </w:r>
      <w:r w:rsidR="00530F91" w:rsidRPr="00430492">
        <w:rPr>
          <w:rFonts w:ascii="Times New Roman" w:hAnsi="Times New Roman" w:cs="Times New Roman"/>
          <w:sz w:val="24"/>
          <w:szCs w:val="24"/>
        </w:rPr>
        <w:t>la frequenza</w:t>
      </w:r>
      <w:r w:rsidRPr="00430492">
        <w:rPr>
          <w:rFonts w:ascii="Times New Roman" w:hAnsi="Times New Roman" w:cs="Times New Roman"/>
          <w:sz w:val="24"/>
          <w:szCs w:val="24"/>
        </w:rPr>
        <w:t xml:space="preserve"> di disturbi alla vista dei pazienti </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10.1002/art.21075","author":[{"dropping-particle":"","family":"Salvarani","given":"Carlo","non-dropping-particle":"","parse-names":false,"suffix":""},{"dropping-particle":"","family":"Cimino","given":"Luca","non-dropping-particle":"","parse-names":false,"suffix":""},{"dropping-particle":"","family":"Macchioni","given":"Pierluigi","non-dropping-particle":"","parse-names":false,"suffix":""},{"dropping-particle":"","family":"Consonni","given":"Dario","non-dropping-particle":"","parse-names":false,"suffix":""},{"dropping-particle":"","family":"Catanoso","given":"Maria Grazia","non-dropping-particle":"","parse-names":false,"suffix":""},{"dropping-particle":"","family":"Cantini","given":"Fabrizio","non-dropping-particle":"","parse-names":false,"suffix":""},{"dropping-particle":"","family":"Bajocchi","given":"Gianluigi","non-dropping-particle":"","parse-names":false,"suffix":""},{"dropping-particle":"","family":"Catanoso","given":"Maria Grazia","non-dropping-particle":"","parse-names":false,"suffix":""},{"dropping-particle":"","family":"Boiardi","given":"Luigi","non-dropping-particle":"","parse-names":false,"suffix":""},{"dropping-particle":"","family":"Nuova","given":"Maria","non-dropping-particle":"","parse-names":false,"suffix":""},{"dropping-particle":"","family":"Emilia","given":"Reggio","non-dropping-particle":"","parse-names":false,"suffix":""},{"dropping-particle":"","family":"Ospedaliera","given":"Azienda","non-dropping-particle":"","parse-names":false,"suffix":""},{"dropping-particle":"","family":"Clinici","given":"Istituti","non-dropping-particle":"","parse-names":false,"suffix":""},{"dropping-particle":"","family":"Santa","given":"Arcispedale","non-dropping-particle":"","parse-names":false,"suffix":""},{"dropping-particle":"","family":"Nuova","given":"Maria","non-dropping-particle":"","parse-names":false,"suffix":""},{"dropping-particle":"","family":"Ri-","given":"V","non-dropping-particle":"","parse-names":false,"suffix":""},{"dropping-particle":"","family":"Emilia","given":"Reggio","non-dropping-particle":"","parse-names":false,"suffix":""}],"id":"ITEM-1","issue":"2","issued":{"date-parts":[["2005"]]},"page":"293-297","title":"Risk Factors for Visual Loss in an Italian Population-Based Cohort of Patients With Giant Cell Arteritis","type":"article-journal","volume":"53"},"uris":["http://www.mendeley.com/documents/?uuid=6376e7d4-1d04-451f-915e-4579ca6dbb67"]}],"mendeley":{"formattedCitation":"&lt;sup&gt;12&lt;/sup&gt;","plainTextFormattedCitation":"12","previouslyFormattedCitation":"&lt;sup&gt;12&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12</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7F7B67B6" w14:textId="77777777" w:rsidR="001A08BD" w:rsidRPr="00430492" w:rsidRDefault="001A08BD" w:rsidP="004258B6">
      <w:pPr>
        <w:spacing w:line="480" w:lineRule="auto"/>
        <w:rPr>
          <w:rFonts w:ascii="Times New Roman" w:hAnsi="Times New Roman" w:cs="Times New Roman"/>
          <w:color w:val="4F81BD" w:themeColor="accent1"/>
          <w:sz w:val="24"/>
          <w:szCs w:val="24"/>
        </w:rPr>
      </w:pPr>
      <w:r w:rsidRPr="00430492">
        <w:rPr>
          <w:rFonts w:ascii="Times New Roman" w:hAnsi="Times New Roman" w:cs="Times New Roman"/>
          <w:sz w:val="24"/>
          <w:szCs w:val="24"/>
        </w:rPr>
        <w:t>La dose di steroide poi dovrà essere scalata del 10% ogni 1-2 settimane e poi via via più gradualmente</w:t>
      </w:r>
      <w:r w:rsidR="00FB4D32" w:rsidRPr="00430492">
        <w:rPr>
          <w:rFonts w:ascii="Times New Roman" w:hAnsi="Times New Roman" w:cs="Times New Roman"/>
          <w:sz w:val="24"/>
          <w:szCs w:val="24"/>
        </w:rPr>
        <w:fldChar w:fldCharType="begin" w:fldLock="1"/>
      </w:r>
      <w:r w:rsidR="0078118B" w:rsidRPr="00430492">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FB4D32" w:rsidRPr="00430492">
        <w:rPr>
          <w:rFonts w:ascii="Times New Roman" w:hAnsi="Times New Roman" w:cs="Times New Roman"/>
          <w:sz w:val="24"/>
          <w:szCs w:val="24"/>
        </w:rPr>
        <w:fldChar w:fldCharType="separate"/>
      </w:r>
      <w:r w:rsidR="00FB4D32" w:rsidRPr="00430492">
        <w:rPr>
          <w:rFonts w:ascii="Times New Roman" w:hAnsi="Times New Roman" w:cs="Times New Roman"/>
          <w:noProof/>
          <w:sz w:val="24"/>
          <w:szCs w:val="24"/>
          <w:vertAlign w:val="superscript"/>
        </w:rPr>
        <w:t>1</w:t>
      </w:r>
      <w:r w:rsidR="00FB4D3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r w:rsidRPr="00430492">
        <w:rPr>
          <w:rFonts w:ascii="Times New Roman" w:hAnsi="Times New Roman" w:cs="Times New Roman"/>
          <w:color w:val="4F81BD" w:themeColor="accent1"/>
          <w:sz w:val="24"/>
          <w:szCs w:val="24"/>
        </w:rPr>
        <w:t xml:space="preserve"> </w:t>
      </w:r>
    </w:p>
    <w:p w14:paraId="3C46B2E5" w14:textId="77777777" w:rsidR="00F577DA"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In soggetti con perdita del visus (transitoria o permanente), diplopia, anamnesi positiva per amaurosi fugax, attacchi ischemici o stroke, si può optare per</w:t>
      </w:r>
      <w:r w:rsidR="00530F91" w:rsidRPr="00430492">
        <w:rPr>
          <w:rFonts w:ascii="Times New Roman" w:hAnsi="Times New Roman" w:cs="Times New Roman"/>
          <w:sz w:val="24"/>
          <w:szCs w:val="24"/>
        </w:rPr>
        <w:t xml:space="preserve"> boli di</w:t>
      </w:r>
      <w:r w:rsidRPr="00430492">
        <w:rPr>
          <w:rFonts w:ascii="Times New Roman" w:hAnsi="Times New Roman" w:cs="Times New Roman"/>
          <w:sz w:val="24"/>
          <w:szCs w:val="24"/>
        </w:rPr>
        <w:t xml:space="preserve"> 500-1000mg/die per 3 giorni di metilprednisolone endovenoso</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9</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 anche se la superiorità dei boli di GC non è stata del tutto provata</w:t>
      </w:r>
      <w:r w:rsidR="00530F91" w:rsidRPr="00430492">
        <w:rPr>
          <w:rFonts w:ascii="Times New Roman" w:hAnsi="Times New Roman" w:cs="Times New Roman"/>
          <w:sz w:val="24"/>
          <w:szCs w:val="24"/>
        </w:rPr>
        <w:t>. Successivamente si proseguirà</w:t>
      </w:r>
      <w:r w:rsidRPr="00430492">
        <w:rPr>
          <w:rFonts w:ascii="Times New Roman" w:hAnsi="Times New Roman" w:cs="Times New Roman"/>
          <w:sz w:val="24"/>
          <w:szCs w:val="24"/>
        </w:rPr>
        <w:t xml:space="preserve"> </w:t>
      </w:r>
      <w:r w:rsidR="00530F91" w:rsidRPr="00430492">
        <w:rPr>
          <w:rFonts w:ascii="Times New Roman" w:hAnsi="Times New Roman" w:cs="Times New Roman"/>
          <w:sz w:val="24"/>
          <w:szCs w:val="24"/>
        </w:rPr>
        <w:t>con</w:t>
      </w:r>
      <w:r w:rsidRPr="00430492">
        <w:rPr>
          <w:rFonts w:ascii="Times New Roman" w:hAnsi="Times New Roman" w:cs="Times New Roman"/>
          <w:sz w:val="24"/>
          <w:szCs w:val="24"/>
        </w:rPr>
        <w:t xml:space="preserve"> 60mg/die di prednisolone per via orale. </w:t>
      </w:r>
      <w:r w:rsidR="00530F91" w:rsidRPr="00430492">
        <w:rPr>
          <w:rFonts w:ascii="Times New Roman" w:hAnsi="Times New Roman" w:cs="Times New Roman"/>
          <w:sz w:val="24"/>
          <w:szCs w:val="24"/>
        </w:rPr>
        <w:t xml:space="preserve">Se </w:t>
      </w:r>
      <w:r w:rsidRPr="00430492">
        <w:rPr>
          <w:rFonts w:ascii="Times New Roman" w:hAnsi="Times New Roman" w:cs="Times New Roman"/>
          <w:sz w:val="24"/>
          <w:szCs w:val="24"/>
        </w:rPr>
        <w:t>la perdita della vista</w:t>
      </w:r>
      <w:r w:rsidR="00530F91" w:rsidRPr="00430492">
        <w:rPr>
          <w:rFonts w:ascii="Times New Roman" w:hAnsi="Times New Roman" w:cs="Times New Roman"/>
          <w:sz w:val="24"/>
          <w:szCs w:val="24"/>
        </w:rPr>
        <w:t xml:space="preserve"> si è già verificata</w:t>
      </w:r>
      <w:r w:rsidRPr="00430492">
        <w:rPr>
          <w:rFonts w:ascii="Times New Roman" w:hAnsi="Times New Roman" w:cs="Times New Roman"/>
          <w:sz w:val="24"/>
          <w:szCs w:val="24"/>
        </w:rPr>
        <w:t xml:space="preserve"> rimane indicato il trattamento con 60mg/die di prednisolone </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16</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 xml:space="preserve">. </w:t>
      </w:r>
    </w:p>
    <w:p w14:paraId="7F49C5BE" w14:textId="77777777" w:rsidR="001A08BD"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Un recente studio spagnolo ha analizzato la risposta ai GC in soggetti affetti da AGC che avevano sviluppato perdita della vista. Il primo gruppo era stato trattato entro le 24 ore dall’insorgenza della perdita della vista</w:t>
      </w:r>
      <w:r w:rsidR="00530F91" w:rsidRPr="00430492">
        <w:rPr>
          <w:rFonts w:ascii="Times New Roman" w:hAnsi="Times New Roman" w:cs="Times New Roman"/>
          <w:sz w:val="24"/>
          <w:szCs w:val="24"/>
        </w:rPr>
        <w:t xml:space="preserve">: </w:t>
      </w:r>
      <w:r w:rsidRPr="00430492">
        <w:rPr>
          <w:rFonts w:ascii="Times New Roman" w:hAnsi="Times New Roman" w:cs="Times New Roman"/>
          <w:sz w:val="24"/>
          <w:szCs w:val="24"/>
        </w:rPr>
        <w:t>un miglioramento della sintomatologia visiva</w:t>
      </w:r>
      <w:r w:rsidR="00530F91" w:rsidRPr="00430492">
        <w:rPr>
          <w:rFonts w:ascii="Times New Roman" w:hAnsi="Times New Roman" w:cs="Times New Roman"/>
          <w:sz w:val="24"/>
          <w:szCs w:val="24"/>
        </w:rPr>
        <w:t xml:space="preserve"> è stato osservato in</w:t>
      </w:r>
      <w:r w:rsidRPr="00430492">
        <w:rPr>
          <w:rFonts w:ascii="Times New Roman" w:hAnsi="Times New Roman" w:cs="Times New Roman"/>
          <w:sz w:val="24"/>
          <w:szCs w:val="24"/>
        </w:rPr>
        <w:t xml:space="preserve"> 7</w:t>
      </w:r>
      <w:r w:rsidR="00530F91" w:rsidRPr="00430492">
        <w:rPr>
          <w:rFonts w:ascii="Times New Roman" w:hAnsi="Times New Roman" w:cs="Times New Roman"/>
          <w:sz w:val="24"/>
          <w:szCs w:val="24"/>
        </w:rPr>
        <w:t>/</w:t>
      </w:r>
      <w:r w:rsidRPr="00430492">
        <w:rPr>
          <w:rFonts w:ascii="Times New Roman" w:hAnsi="Times New Roman" w:cs="Times New Roman"/>
          <w:sz w:val="24"/>
          <w:szCs w:val="24"/>
        </w:rPr>
        <w:t xml:space="preserve">12 </w:t>
      </w:r>
      <w:r w:rsidR="00530F91" w:rsidRPr="00430492">
        <w:rPr>
          <w:rFonts w:ascii="Times New Roman" w:hAnsi="Times New Roman" w:cs="Times New Roman"/>
          <w:sz w:val="24"/>
          <w:szCs w:val="24"/>
        </w:rPr>
        <w:t>pazienti. I</w:t>
      </w:r>
      <w:r w:rsidRPr="00430492">
        <w:rPr>
          <w:rFonts w:ascii="Times New Roman" w:hAnsi="Times New Roman" w:cs="Times New Roman"/>
          <w:sz w:val="24"/>
          <w:szCs w:val="24"/>
        </w:rPr>
        <w:t xml:space="preserve">l secondo gruppo analizzato invece aveva iniziato la terapia con GC oltre un giorno dopo l’inizio dei sintomi e solo </w:t>
      </w:r>
      <w:r w:rsidR="00530F91" w:rsidRPr="00430492">
        <w:rPr>
          <w:rFonts w:ascii="Times New Roman" w:hAnsi="Times New Roman" w:cs="Times New Roman"/>
          <w:sz w:val="24"/>
          <w:szCs w:val="24"/>
        </w:rPr>
        <w:t>un paziente</w:t>
      </w:r>
      <w:r w:rsidRPr="00430492">
        <w:rPr>
          <w:rFonts w:ascii="Times New Roman" w:hAnsi="Times New Roman" w:cs="Times New Roman"/>
          <w:sz w:val="24"/>
          <w:szCs w:val="24"/>
        </w:rPr>
        <w:t xml:space="preserve"> su 17 aveva ottenuto dei miglioramenti della vista </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{"citationItems":[{"id":"ITEM-1","itemData":{"DOI":"10.1002/1529-0131(199808)41:8&lt;1497::AID-ART22&gt;3.0.CO;2-Z","ISSN":"00043591","abstract":"Objective. To assess the features and therapeutic response of visual manifestations and cerebrovascular accidents (CVA) in giant cell (temporal) arteritis (GCA) and to identify the predictors for permanent visual loss (VL) and CVA in GCA. Methods: Two hundred thirty-nine patients with biopsy-proven GCA were included in a retrospective multicenter study. Data on demographic, clinical, and laboratory features were collected. The predictors were identified by a forward stepwise nonconditional logistic regression analysis. Results. Visual involvement was observed in 69 patients, and 34 had permanent VL. The diagnostic delay since the onset of visual symptoms was longer in the 11 patients with bilateral VL. The interval to involvement of the second eye was 5 days. The predictors of permanent VL were transient VL, jaw claudication, normal levels of liver enzymes, and absence of constitutional syndrome. Partial improvement of visual acuity was observed in 8 patients. After adjustment for the treatment regimen (intravenous pulse methylprednisolone versus oral prednisone), early treatment (within the first day of VL) was the only predictor of improvement. CVA, observed in 8 patients, involved the vertebral-basilar territory in 4. CVA was more frequent in patients with visual symptoms, appearing shortly after VL (median 7 days) and despite appropriate therapy. Predictors of CVA were permanent VL and jaw claudication. Conclusion. In GCA, the risk of permanent VL is increased in patients with transient VL and/or jaw claudication, and decreased in those with elevated liver enzyme levels and/or constitutional syndrome. Partial therapeutic success is more probable if treatment is started within the first day of VL. CVA is more likely in patients with permanent VL and/or jaw claudication, often developing despite appropriate corticosteroid therapy.","author":[{"dropping-particle":"","family":"González-Gay","given":"Miguel A.","non-dropping-particle":"","parse-names":false,"suffix":""},{"dropping-particle":"","family":"Blanco","given":"Ricardo","non-dropping-particle":"","parse-names":false,"suffix":""},{"dropping-particle":"","family":"Rodríguez-Valverde","given":"Vicente","non-dropping-particle":"","parse-names":false,"suffix":""},{"dropping-particle":"","family":"Martínez-Taboada","given":"Victor M.","non-dropping-particle":"","parse-names":false,"suffix":""},{"dropping-particle":"","family":"Delgado-Rodriguez","given":"Miguel","non-dropping-particle":"","parse-names":false,"suffix":""},{"dropping-particle":"","family":"Figueroa","given":"Manuel","non-dropping-particle":"","parse-names":false,"suffix":""},{"dropping-particle":"","family":"Uriarte","given":"Esther","non-dropping-particle":"","parse-names":false,"suffix":""}],"container-title":"Arthritis and Rheumatism","id":"ITEM-1","issue":"8","issued":{"date-parts":[["1998"]]},"page":"1497-1504","title":"Permanent visual loss and cerebrovascular accidents in giant cell arteritis: Predictors and response to treatment","type":"article-journal","volume":"41"},"uris":["http://www.mendeley.com/documents/?uuid=664410da-4542-4e87-8111-3e0157abbdd2"]}],"mendeley":{"formattedCitation":"&lt;sup&gt;18&lt;/sup&gt;","plainTextFormattedCitation":"18","previouslyFormattedCitation":"&lt;sup&gt;18&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18</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4C33FFF6" w14:textId="40E99202" w:rsidR="001A08BD"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 xml:space="preserve">Il 25-65% dei pazienti affetti da AGC ottengono la remissione, ma alcuni possono sviluppare complicanze come perdita della vista o stroke mentre scalano la dose di </w:t>
      </w:r>
      <w:r w:rsidRPr="00430492">
        <w:rPr>
          <w:rFonts w:ascii="Times New Roman" w:hAnsi="Times New Roman" w:cs="Times New Roman"/>
          <w:sz w:val="24"/>
          <w:szCs w:val="24"/>
        </w:rPr>
        <w:lastRenderedPageBreak/>
        <w:t>GC</w:t>
      </w:r>
      <w:r w:rsidR="00405862" w:rsidRPr="00430492">
        <w:rPr>
          <w:rFonts w:ascii="Times New Roman" w:hAnsi="Times New Roman" w:cs="Times New Roman"/>
          <w:sz w:val="24"/>
          <w:szCs w:val="24"/>
        </w:rPr>
        <w:t xml:space="preserve"> </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{"citationItems":[{"id":"ITEM-1","itemData":{"DOI":"10.1016/j.jaut.2014.01.017","ISSN":"10959157","PMID":"24461386","abstract":"Giant-cell arteritis (GCA) involves the major branches of the aorta with predilection for the extracranial branches of the carotid artery. It occurs in individuals older than 50 years and the incidence increases with age. The signs and symptoms of giant cell arteritis can be classified into four subsets: cranial arteritis, extracranial arteritis, systemic symptoms and polymyalgia rheumatica. Patients may develop any combination of these manifestations, associated with laboratory evidence of an acute-phase reaction. The only test that confirms GCA diagnosis is a temporal artery biopsy, showing vasculitis with mononuclear cell inflammatory infiltrates, often with giant cells. Due to the focal and segmental nature of the infiltrates, areas of inflammation may be missed by the biopsy and the histological examination is normal in about 15% of the cases. Some imaging modalities may aid in the diagnosis of GCA. Among those, color duplex ultrasonography of the temporal arteries is more commonly used. There are no independent validating criteria to determine whether giant cell arteritis is present when a temporal artery biopsy is negative. The American College of Rheumatology criteria for the classification of giant cell arteritis may assist in the diagnosis. However, meeting classification criteria is not equivalent to making the diagnosis in individual patients, and the final diagnosis should be based on all clinical, laboratory, imaging and histological findings. Glucocorticoids are the treatment of choice for GCA. The initial dose is 40-60mg/day for most uncomplicated cases. Addition of low-dose aspirin (100mg/d) has been shown to significantly decrease the rate of vision loss and stroke during the course of the disease. © 2014 Elsevier Ltd.","author":[{"dropping-particle":"","family":"Nesher","given":"Gideon","non-dropping-particle":"","parse-names":false,"suffix":""}],"container-title":"Journal of Autoimmunity","id":"ITEM-1","issued":{"date-parts":[["2014"]]},"page":"73-75","title":"The diagnosis and classification of giant cell arteritis","type":"article-journal","volume":"48-49"},"uris":["http://www.mendeley.com/documents/?uuid=b0b0b56a-68ed-47f9-9fea-61cacb62a374"]}],"mendeley":{"formattedCitation":"&lt;sup&gt;9&lt;/sup&gt;","plainTextFormattedCitation":"9","previouslyFormattedCitation":"&lt;sup&gt;9&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9</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 xml:space="preserve">. Solo l’1% dei soggetti già in terapia con GC invece sviluppa perdita della vista </w:t>
      </w:r>
      <w:r w:rsidR="00405862" w:rsidRPr="00430492">
        <w:rPr>
          <w:rFonts w:ascii="Times New Roman" w:hAnsi="Times New Roman" w:cs="Times New Roman"/>
          <w:sz w:val="24"/>
          <w:szCs w:val="24"/>
        </w:rPr>
        <w:fldChar w:fldCharType="begin" w:fldLock="1"/>
      </w:r>
      <w:r w:rsidR="004F08FB" w:rsidRPr="00430492">
        <w:rPr>
          <w:rFonts w:ascii="Times New Roman" w:hAnsi="Times New Roman" w:cs="Times New Roman"/>
          <w:sz w:val="24"/>
          <w:szCs w:val="24"/>
        </w:rPr>
        <w:instrText>ADDIN CSL_CITATION {"citationItems":[{"id":"ITEM-1","itemData":{"DOI":"10.1016/S0161-6420(93)31608-8","ISSN":"01616420","abstract":"Purpose: The visual prognosis in giant cell arteritis (GCA) was evaluated over a 5year period. Methods: The authors reviewed the records of all patients with a diagnosis of GCA established at the Mayo Clinic over a 5-year period regarding visual status. Follow-up data for these patients were obtained 5 years later. Results: Of the 245 patients studied, 34 (14%) permanently lost vision because of GCA. In 32 of these patients, the visual deficit developed before glucocorticoid therapy for GCA was begun; in the 2 other patients, the visual loss occurred after the diagnosis was made and therapy was started. Visual loss progressed in three patients after initiation of oral glucocorticoids, and in five other patients vision improved. After 5 years, the probability of loss of vision developing after initiating oral glucocorticoid treatment was determined to be 1 % (Kaplan-Meier technique), and the probability of additional loss was 13% in patients with GCA who had a visual deficit at the time therapy was begun. Conclusion: The development or progression of visual loss was rare after the initiation of glucocorticoid therapy. © 1993, American Academy of Ophthalmology, Inc. All rights reserved.","author":[{"dropping-particle":"","family":"Aiello","given":"Patrick D.","non-dropping-particle":"","parse-names":false,"suffix":""},{"dropping-particle":"","family":"Trautmann","given":"James C.","non-dropping-particle":"","parse-names":false,"suffix":""},{"dropping-particle":"","family":"McPhee","given":"Thomas J.","non-dropping-particle":"","parse-names":false,"suffix":""},{"dropping-particle":"","family":"Kunselman","given":"Allen R.","non-dropping-particle":"","parse-names":false,"suffix":""},{"dropping-particle":"","family":"Hunder","given":"Gene G.","non-dropping-particle":"","parse-names":false,"suffix":""}],"container-title":"Ophthalmology","id":"ITEM-1","issued":{"date-parts":[["1993"]]},"title":"Visual Prognosis in Giant Cell Arteritis","type":"article-journal"},"uris":["http://www.mendeley.com/documents/?uuid=1351fa8d-fbe1-3368-ad73-34b6bcdffa43"]}],"mendeley":{"formattedCitation":"&lt;sup&gt;37&lt;/sup&gt;","plainTextFormattedCitation":"37","previouslyFormattedCitation":"&lt;sup&gt;37&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7F7780" w:rsidRPr="00430492">
        <w:rPr>
          <w:rFonts w:ascii="Times New Roman" w:hAnsi="Times New Roman" w:cs="Times New Roman"/>
          <w:noProof/>
          <w:sz w:val="24"/>
          <w:szCs w:val="24"/>
          <w:vertAlign w:val="superscript"/>
        </w:rPr>
        <w:t>37</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01EF569D" w14:textId="77777777" w:rsidR="00591FB0"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 xml:space="preserve">Dopo alcune settimane di trattamento, </w:t>
      </w:r>
      <w:r w:rsidR="00530F91" w:rsidRPr="00430492">
        <w:rPr>
          <w:rFonts w:ascii="Times New Roman" w:hAnsi="Times New Roman" w:cs="Times New Roman"/>
          <w:sz w:val="24"/>
          <w:szCs w:val="24"/>
        </w:rPr>
        <w:t xml:space="preserve">ottenuti </w:t>
      </w:r>
      <w:r w:rsidRPr="00430492">
        <w:rPr>
          <w:rFonts w:ascii="Times New Roman" w:hAnsi="Times New Roman" w:cs="Times New Roman"/>
          <w:sz w:val="24"/>
          <w:szCs w:val="24"/>
        </w:rPr>
        <w:t>la risoluzione dei sintomi e la normalizzazione dei livelli di VES e PCR, i dosaggi della terapia devono essere diminuiti di 10mg ogni 2 settimane fino a che non si raggiunge la dose di 20mg/die</w:t>
      </w:r>
      <w:r w:rsidR="00AE70FA" w:rsidRPr="00430492">
        <w:rPr>
          <w:rFonts w:ascii="Times New Roman" w:hAnsi="Times New Roman" w:cs="Times New Roman"/>
          <w:sz w:val="24"/>
          <w:szCs w:val="24"/>
        </w:rPr>
        <w:t>;</w:t>
      </w:r>
      <w:r w:rsidRPr="00430492">
        <w:rPr>
          <w:rFonts w:ascii="Times New Roman" w:hAnsi="Times New Roman" w:cs="Times New Roman"/>
          <w:sz w:val="24"/>
          <w:szCs w:val="24"/>
        </w:rPr>
        <w:t xml:space="preserve"> </w:t>
      </w:r>
      <w:r w:rsidR="00AE70FA" w:rsidRPr="00430492">
        <w:rPr>
          <w:rFonts w:ascii="Times New Roman" w:hAnsi="Times New Roman" w:cs="Times New Roman"/>
          <w:sz w:val="24"/>
          <w:szCs w:val="24"/>
        </w:rPr>
        <w:t>a questo punto</w:t>
      </w:r>
      <w:r w:rsidRPr="00430492">
        <w:rPr>
          <w:rFonts w:ascii="Times New Roman" w:hAnsi="Times New Roman" w:cs="Times New Roman"/>
          <w:sz w:val="24"/>
          <w:szCs w:val="24"/>
        </w:rPr>
        <w:t xml:space="preserve"> bisogna proseguire la diminuzione del dosaggio di 2,5mg ogni due settimane fino ai 10mg/die; infine </w:t>
      </w:r>
      <w:r w:rsidR="00AE70FA" w:rsidRPr="00430492">
        <w:rPr>
          <w:rFonts w:ascii="Times New Roman" w:hAnsi="Times New Roman" w:cs="Times New Roman"/>
          <w:sz w:val="24"/>
          <w:szCs w:val="24"/>
        </w:rPr>
        <w:t xml:space="preserve">si può </w:t>
      </w:r>
      <w:r w:rsidRPr="00430492">
        <w:rPr>
          <w:rFonts w:ascii="Times New Roman" w:hAnsi="Times New Roman" w:cs="Times New Roman"/>
          <w:sz w:val="24"/>
          <w:szCs w:val="24"/>
        </w:rPr>
        <w:t xml:space="preserve">ridurre di 1 mg ogni 1 o 2 mesi </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16</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55DA7B22" w14:textId="77777777" w:rsidR="001A08BD"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La risposta alla terapia</w:t>
      </w:r>
      <w:r w:rsidR="00AE70FA" w:rsidRPr="00430492">
        <w:rPr>
          <w:rFonts w:ascii="Times New Roman" w:hAnsi="Times New Roman" w:cs="Times New Roman"/>
          <w:sz w:val="24"/>
          <w:szCs w:val="24"/>
        </w:rPr>
        <w:t xml:space="preserve"> è individuale</w:t>
      </w:r>
      <w:r w:rsidRPr="00430492">
        <w:rPr>
          <w:rFonts w:ascii="Times New Roman" w:hAnsi="Times New Roman" w:cs="Times New Roman"/>
          <w:sz w:val="24"/>
          <w:szCs w:val="24"/>
        </w:rPr>
        <w:t>: alcuni soggetti possono rispondere a dose medio-alte, mentre altri potrebbero necessitare di dosi così elevate, da essere intollerabili sul lungo periodo. In questi ultimi casi si può associare allo steroide methotrexate (15-20mg/settimana) o ciclofosfamide orale</w:t>
      </w:r>
      <w:r w:rsidR="0078118B" w:rsidRPr="00430492">
        <w:rPr>
          <w:rFonts w:ascii="Times New Roman" w:hAnsi="Times New Roman" w:cs="Times New Roman"/>
          <w:sz w:val="24"/>
          <w:szCs w:val="24"/>
        </w:rPr>
        <w:fldChar w:fldCharType="begin" w:fldLock="1"/>
      </w:r>
      <w:r w:rsidR="001E3743" w:rsidRPr="00430492">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78118B" w:rsidRPr="00430492">
        <w:rPr>
          <w:rFonts w:ascii="Times New Roman" w:hAnsi="Times New Roman" w:cs="Times New Roman"/>
          <w:sz w:val="24"/>
          <w:szCs w:val="24"/>
        </w:rPr>
        <w:fldChar w:fldCharType="separate"/>
      </w:r>
      <w:r w:rsidR="0078118B" w:rsidRPr="00430492">
        <w:rPr>
          <w:rFonts w:ascii="Times New Roman" w:hAnsi="Times New Roman" w:cs="Times New Roman"/>
          <w:noProof/>
          <w:sz w:val="24"/>
          <w:szCs w:val="24"/>
          <w:vertAlign w:val="superscript"/>
        </w:rPr>
        <w:t>1</w:t>
      </w:r>
      <w:r w:rsidR="0078118B" w:rsidRPr="00430492">
        <w:rPr>
          <w:rFonts w:ascii="Times New Roman" w:hAnsi="Times New Roman" w:cs="Times New Roman"/>
          <w:sz w:val="24"/>
          <w:szCs w:val="24"/>
        </w:rPr>
        <w:fldChar w:fldCharType="end"/>
      </w:r>
      <w:r w:rsidRPr="00430492">
        <w:rPr>
          <w:rFonts w:ascii="Times New Roman" w:hAnsi="Times New Roman" w:cs="Times New Roman"/>
          <w:sz w:val="24"/>
          <w:szCs w:val="24"/>
        </w:rPr>
        <w:t xml:space="preserve">. </w:t>
      </w:r>
    </w:p>
    <w:p w14:paraId="39B2A6BD" w14:textId="77777777" w:rsidR="001A08BD"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 xml:space="preserve">La somministrazione di antiaggreganti o anticoagulanti non riduce il rischio di ischemia del nervo ottico e quindi non è indicata. Nel caso siano presenti i comuni fattori di rischio per malattie cardiovascolari (CV) è utile, come in qualsiasi soggetto, utilizzare un trattamento con antiaggregante, ad esempio con 81mg/die di ASA </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16</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5E7BD4FE" w14:textId="3DA58F8C" w:rsidR="001A08BD"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 xml:space="preserve">Recenti studi riportano effetti positivi </w:t>
      </w:r>
      <w:r w:rsidR="00AE70FA" w:rsidRPr="00430492">
        <w:rPr>
          <w:rFonts w:ascii="Times New Roman" w:hAnsi="Times New Roman" w:cs="Times New Roman"/>
          <w:sz w:val="24"/>
          <w:szCs w:val="24"/>
        </w:rPr>
        <w:t>in</w:t>
      </w:r>
      <w:r w:rsidRPr="00430492">
        <w:rPr>
          <w:rFonts w:ascii="Times New Roman" w:hAnsi="Times New Roman" w:cs="Times New Roman"/>
          <w:sz w:val="24"/>
          <w:szCs w:val="24"/>
        </w:rPr>
        <w:t xml:space="preserve"> </w:t>
      </w:r>
      <w:r w:rsidR="00AE70FA" w:rsidRPr="00430492">
        <w:rPr>
          <w:rFonts w:ascii="Times New Roman" w:hAnsi="Times New Roman" w:cs="Times New Roman"/>
          <w:sz w:val="24"/>
          <w:szCs w:val="24"/>
        </w:rPr>
        <w:t>pazient</w:t>
      </w:r>
      <w:r w:rsidRPr="00430492">
        <w:rPr>
          <w:rFonts w:ascii="Times New Roman" w:hAnsi="Times New Roman" w:cs="Times New Roman"/>
          <w:sz w:val="24"/>
          <w:szCs w:val="24"/>
        </w:rPr>
        <w:t>i</w:t>
      </w:r>
      <w:r w:rsidR="00AE70FA" w:rsidRPr="00430492">
        <w:rPr>
          <w:rFonts w:ascii="Times New Roman" w:hAnsi="Times New Roman" w:cs="Times New Roman"/>
          <w:sz w:val="24"/>
          <w:szCs w:val="24"/>
        </w:rPr>
        <w:t xml:space="preserve"> con AGC</w:t>
      </w:r>
      <w:r w:rsidRPr="00430492">
        <w:rPr>
          <w:rFonts w:ascii="Times New Roman" w:hAnsi="Times New Roman" w:cs="Times New Roman"/>
          <w:sz w:val="24"/>
          <w:szCs w:val="24"/>
        </w:rPr>
        <w:t xml:space="preserve"> trattati con tocilizumab, un antagonista del recettore dell’IL-6 sia nella sua isoforma di membrana (m-IL-6R) che solubile (s-IL-6R). In pazienti intolleranti o non responsivi al trattamento con corticosteroidi, sia in monoterapia che associati ad altri farmaci immunomodulanti (MTX o ciclofosfamide), il tocilizumab ad un </w:t>
      </w:r>
      <w:r w:rsidRPr="00430492">
        <w:rPr>
          <w:rFonts w:ascii="Times New Roman" w:hAnsi="Times New Roman" w:cs="Times New Roman"/>
          <w:sz w:val="24"/>
          <w:szCs w:val="24"/>
        </w:rPr>
        <w:lastRenderedPageBreak/>
        <w:t xml:space="preserve">dosaggio di 8mg/kg /mese ha dato ottimi risultati in breve tempo, consentendo inoltre il completo svezzamento del paziente dalla terapia steroidea </w:t>
      </w:r>
      <w:r w:rsidR="00405862" w:rsidRPr="00430492">
        <w:rPr>
          <w:rFonts w:ascii="Times New Roman" w:hAnsi="Times New Roman" w:cs="Times New Roman"/>
          <w:sz w:val="24"/>
          <w:szCs w:val="24"/>
        </w:rPr>
        <w:fldChar w:fldCharType="begin" w:fldLock="1"/>
      </w:r>
      <w:r w:rsidR="00F66ECC" w:rsidRPr="00430492">
        <w:rPr>
          <w:rFonts w:ascii="Times New Roman" w:hAnsi="Times New Roman" w:cs="Times New Roman"/>
          <w:sz w:val="24"/>
          <w:szCs w:val="24"/>
        </w:rPr>
        <w:instrText>ADDIN CSL_CITATION {"citationItems":[{"id":"ITEM-1","itemData":{"DOI":"10.1016/j.revmed.2012.12.012","ISSN":"02488663","abstract":"Introduction: Treatment of giant cell arteritis is based on prolonged corticosteroid therapy but adverse side effects are common especially in the elderly. Case reports: We report three patients with giant cell vasculitis treated by tocilizumab, an interleukin-6 receptor antibody, owing to resistance or intolerance to corticosteroid therapy. A favorable outcome was rapidly observed both on clinical and biological data allowing a corticoid therapy sparing. Conclusion: Tocilizumab is a promising treatment of giant cell arteritis but controlled trials are needed to confirm its efficacy. © 2013 Société nationale française de médecine interne (SNFMI).","author":[{"dropping-particle":"","family":"Kieffer","given":"P.","non-dropping-particle":"","parse-names":false,"suffix":""},{"dropping-particle":"","family":"Hinschberger","given":"O.","non-dropping-particle":"","parse-names":false,"suffix":""},{"dropping-particle":"","family":"Ciobanu","given":"E.","non-dropping-particle":"","parse-names":false,"suffix":""},{"dropping-particle":"","family":"Jaeger-Bizet","given":"F.","non-dropping-particle":"","parse-names":false,"suffix":""},{"dropping-particle":"","family":"Drabo","given":"A.","non-dropping-particle":"","parse-names":false,"suffix":""},{"dropping-particle":"","family":"Mostoufizadeh","given":"T.","non-dropping-particle":"","parse-names":false,"suffix":""},{"dropping-particle":"","family":"Martzolff","given":"L.","non-dropping-particle":"","parse-names":false,"suffix":""}],"container-title":"Revue de Medecine Interne","id":"ITEM-1","issue":"1","issued":{"date-parts":[["2014"]]},"page":"56-59","publisher":"Elsevier Masson SAS","title":"Efficacité clinique et biologique du tocilizumab au cours de la maladie de Horton: À propos de trois observations et revue de la littérature","type":"article-journal","volume":"35"},"uris":["http://www.mendeley.com/documents/?uuid=f8d9ae56-3f05-4e83-9f48-3ea4c9da5f0c"]}],"mendeley":{"formattedCitation":"&lt;sup&gt;28&lt;/sup&gt;","plainTextFormattedCitation":"28","previouslyFormattedCitation":"&lt;sup&gt;28&lt;/sup&gt;"},"properties":{"noteIndex":0},"schema":"https://github.com/citation-style-language/schema/raw/master/csl-citation.json"}</w:instrText>
      </w:r>
      <w:r w:rsidR="00405862" w:rsidRPr="00430492">
        <w:rPr>
          <w:rFonts w:ascii="Times New Roman" w:hAnsi="Times New Roman" w:cs="Times New Roman"/>
          <w:sz w:val="24"/>
          <w:szCs w:val="24"/>
        </w:rPr>
        <w:fldChar w:fldCharType="separate"/>
      </w:r>
      <w:r w:rsidR="00C41B3B" w:rsidRPr="00430492">
        <w:rPr>
          <w:rFonts w:ascii="Times New Roman" w:hAnsi="Times New Roman" w:cs="Times New Roman"/>
          <w:noProof/>
          <w:sz w:val="24"/>
          <w:szCs w:val="24"/>
          <w:vertAlign w:val="superscript"/>
        </w:rPr>
        <w:t>28</w:t>
      </w:r>
      <w:r w:rsidR="0040586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7E959598" w14:textId="286A9527" w:rsidR="003526DC" w:rsidRPr="00430492" w:rsidRDefault="001A08BD" w:rsidP="004258B6">
      <w:pPr>
        <w:spacing w:line="480" w:lineRule="auto"/>
        <w:rPr>
          <w:rFonts w:ascii="Times New Roman" w:hAnsi="Times New Roman" w:cs="Times New Roman"/>
          <w:sz w:val="24"/>
          <w:szCs w:val="24"/>
        </w:rPr>
      </w:pPr>
      <w:r w:rsidRPr="00430492">
        <w:rPr>
          <w:rFonts w:ascii="Times New Roman" w:hAnsi="Times New Roman" w:cs="Times New Roman"/>
          <w:sz w:val="24"/>
          <w:szCs w:val="24"/>
        </w:rPr>
        <w:t xml:space="preserve">I principali razionali </w:t>
      </w:r>
      <w:r w:rsidR="003526DC" w:rsidRPr="00430492">
        <w:rPr>
          <w:rFonts w:ascii="Times New Roman" w:hAnsi="Times New Roman" w:cs="Times New Roman"/>
          <w:sz w:val="24"/>
          <w:szCs w:val="24"/>
        </w:rPr>
        <w:t>per l’introduzione di tocilizumab</w:t>
      </w:r>
      <w:r w:rsidRPr="00430492">
        <w:rPr>
          <w:rFonts w:ascii="Times New Roman" w:hAnsi="Times New Roman" w:cs="Times New Roman"/>
          <w:sz w:val="24"/>
          <w:szCs w:val="24"/>
        </w:rPr>
        <w:t xml:space="preserve"> </w:t>
      </w:r>
      <w:r w:rsidR="003526DC" w:rsidRPr="00430492">
        <w:rPr>
          <w:rFonts w:ascii="Times New Roman" w:hAnsi="Times New Roman" w:cs="Times New Roman"/>
          <w:sz w:val="24"/>
          <w:szCs w:val="24"/>
        </w:rPr>
        <w:t>n</w:t>
      </w:r>
      <w:r w:rsidRPr="00430492">
        <w:rPr>
          <w:rFonts w:ascii="Times New Roman" w:hAnsi="Times New Roman" w:cs="Times New Roman"/>
          <w:sz w:val="24"/>
          <w:szCs w:val="24"/>
        </w:rPr>
        <w:t>ella terapia con GC sono riassunti in Tabella 4</w:t>
      </w:r>
      <w:r w:rsidR="003526DC" w:rsidRPr="00430492">
        <w:rPr>
          <w:rFonts w:ascii="Times New Roman" w:hAnsi="Times New Roman" w:cs="Times New Roman"/>
          <w:sz w:val="24"/>
          <w:szCs w:val="24"/>
        </w:rPr>
        <w:t xml:space="preserve"> </w:t>
      </w:r>
      <w:r w:rsidR="00535792" w:rsidRPr="00430492">
        <w:rPr>
          <w:rFonts w:ascii="Times New Roman" w:hAnsi="Times New Roman" w:cs="Times New Roman"/>
          <w:sz w:val="24"/>
          <w:szCs w:val="24"/>
        </w:rPr>
        <w:fldChar w:fldCharType="begin" w:fldLock="1"/>
      </w:r>
      <w:r w:rsidR="00734A31">
        <w:rPr>
          <w:rFonts w:ascii="Times New Roman" w:hAnsi="Times New Roman" w:cs="Times New Roman"/>
          <w:sz w:val="24"/>
          <w:szCs w:val="24"/>
        </w:rPr>
        <w:instrText>ADDIN CSL_CITATION {"citationItems":[{"id":"ITEM-1","itemData":{"DOI":"10.1080/03009742.2019.1571223","ISSN":"0300-9742","author":[{"dropping-particle":"","family":"Turesson","given":"C","non-dropping-particle":"","parse-names":false,"suffix":""},{"dropping-particle":"","family":"Börjesson","given":"O","non-dropping-particle":"","parse-names":false,"suffix":""},{"dropping-particle":"","family":"Larsson","given":"K","non-dropping-particle":"","parse-names":false,"suffix":""},{"dropping-particle":"","family":"Mohammad","given":"AJ","non-dropping-particle":"","parse-names":false,"suffix":""},{"dropping-particle":"","family":"Knight","given":"A","non-dropping-particle":"","parse-names":false,"suffix":""}],"container-title":"Scandinavian Journal of Rheumatology","id":"ITEM-1","issue":"00","issued":{"date-parts":[["2019"]]},"page":"1-7","publisher":"Taylor &amp; Francis","title":"Swedish Society of Rheumatology 2018 guidelines for investigation, treatment, and follow-up of giant cell arteritis","type":"article-journal","volume":"00"},"uris":["http://www.mendeley.com/documents/?uuid=fbe917cc-dd53-44db-8782-4337413bddd5"]}],"mendeley":{"formattedCitation":"&lt;sup&gt;29&lt;/sup&gt;","plainTextFormattedCitation":"29","previouslyFormattedCitation":"&lt;sup&gt;29&lt;/sup&gt;"},"properties":{"noteIndex":0},"schema":"https://github.com/citation-style-language/schema/raw/master/csl-citation.json"}</w:instrText>
      </w:r>
      <w:r w:rsidR="00535792" w:rsidRPr="00430492">
        <w:rPr>
          <w:rFonts w:ascii="Times New Roman" w:hAnsi="Times New Roman" w:cs="Times New Roman"/>
          <w:sz w:val="24"/>
          <w:szCs w:val="24"/>
        </w:rPr>
        <w:fldChar w:fldCharType="separate"/>
      </w:r>
      <w:r w:rsidR="00535792" w:rsidRPr="00430492">
        <w:rPr>
          <w:rFonts w:ascii="Times New Roman" w:hAnsi="Times New Roman" w:cs="Times New Roman"/>
          <w:noProof/>
          <w:sz w:val="24"/>
          <w:szCs w:val="24"/>
          <w:vertAlign w:val="superscript"/>
        </w:rPr>
        <w:t>29</w:t>
      </w:r>
      <w:r w:rsidR="00535792" w:rsidRPr="00430492">
        <w:rPr>
          <w:rFonts w:ascii="Times New Roman" w:hAnsi="Times New Roman" w:cs="Times New Roman"/>
          <w:sz w:val="24"/>
          <w:szCs w:val="24"/>
        </w:rPr>
        <w:fldChar w:fldCharType="end"/>
      </w:r>
      <w:r w:rsidRPr="00430492">
        <w:rPr>
          <w:rFonts w:ascii="Times New Roman" w:hAnsi="Times New Roman" w:cs="Times New Roman"/>
          <w:sz w:val="24"/>
          <w:szCs w:val="24"/>
        </w:rPr>
        <w:t>.</w:t>
      </w:r>
    </w:p>
    <w:p w14:paraId="56DAC8BA" w14:textId="685E91F4" w:rsidR="001A08BD" w:rsidRPr="00F555AD" w:rsidRDefault="001A08BD" w:rsidP="004258B6">
      <w:pPr>
        <w:pStyle w:val="Paragrafoelenco"/>
        <w:spacing w:line="480" w:lineRule="auto"/>
        <w:ind w:left="0"/>
        <w:rPr>
          <w:rFonts w:ascii="Times New Roman" w:hAnsi="Times New Roman"/>
        </w:rPr>
      </w:pPr>
      <w:r w:rsidRPr="00185E76">
        <w:rPr>
          <w:rFonts w:ascii="Times New Roman" w:hAnsi="Times New Roman"/>
          <w:b/>
        </w:rPr>
        <w:t>Tabella 4.</w:t>
      </w:r>
      <w:r w:rsidRPr="00F555AD">
        <w:rPr>
          <w:rFonts w:ascii="Times New Roman" w:hAnsi="Times New Roman"/>
        </w:rPr>
        <w:t xml:space="preserve"> Criteri per l</w:t>
      </w:r>
      <w:r w:rsidR="003526DC">
        <w:rPr>
          <w:rFonts w:ascii="Times New Roman" w:hAnsi="Times New Roman"/>
        </w:rPr>
        <w:t>’aggiunta di tocilizumab</w:t>
      </w:r>
      <w:r w:rsidRPr="00F555AD">
        <w:rPr>
          <w:rFonts w:ascii="Times New Roman" w:hAnsi="Times New Roman"/>
        </w:rPr>
        <w:t xml:space="preserve"> </w:t>
      </w:r>
      <w:r w:rsidR="003526DC">
        <w:rPr>
          <w:rFonts w:ascii="Times New Roman" w:hAnsi="Times New Roman"/>
        </w:rPr>
        <w:t>al</w:t>
      </w:r>
      <w:r w:rsidRPr="00F555AD">
        <w:rPr>
          <w:rFonts w:ascii="Times New Roman" w:hAnsi="Times New Roman"/>
        </w:rPr>
        <w:t>la terapia con GC</w:t>
      </w:r>
    </w:p>
    <w:tbl>
      <w:tblPr>
        <w:tblW w:w="7508" w:type="dxa"/>
        <w:tblInd w:w="75" w:type="dxa"/>
        <w:tblCellMar>
          <w:left w:w="70" w:type="dxa"/>
          <w:right w:w="70" w:type="dxa"/>
        </w:tblCellMar>
        <w:tblLook w:val="04A0" w:firstRow="1" w:lastRow="0" w:firstColumn="1" w:lastColumn="0" w:noHBand="0" w:noVBand="1"/>
      </w:tblPr>
      <w:tblGrid>
        <w:gridCol w:w="910"/>
        <w:gridCol w:w="6598"/>
      </w:tblGrid>
      <w:tr w:rsidR="006D52C0" w:rsidRPr="006D52C0" w14:paraId="1C6B14C6" w14:textId="77777777" w:rsidTr="006D52C0">
        <w:trPr>
          <w:trHeight w:val="552"/>
        </w:trPr>
        <w:tc>
          <w:tcPr>
            <w:tcW w:w="910" w:type="dxa"/>
            <w:tcBorders>
              <w:top w:val="single" w:sz="4" w:space="0" w:color="8EA9DB"/>
              <w:left w:val="single" w:sz="4" w:space="0" w:color="8EA9DB"/>
              <w:bottom w:val="single" w:sz="4" w:space="0" w:color="8EA9DB"/>
              <w:right w:val="single" w:sz="4" w:space="0" w:color="8EA9DB"/>
            </w:tcBorders>
            <w:shd w:val="clear" w:color="auto" w:fill="8DB3E2" w:themeFill="text2" w:themeFillTint="66"/>
            <w:hideMark/>
          </w:tcPr>
          <w:p w14:paraId="5E4A4A8D" w14:textId="77777777" w:rsidR="006D52C0" w:rsidRPr="006D52C0" w:rsidRDefault="006D52C0" w:rsidP="006D52C0">
            <w:pPr>
              <w:spacing w:after="0" w:line="240" w:lineRule="auto"/>
              <w:rPr>
                <w:rFonts w:ascii="Times New Roman" w:eastAsia="Times New Roman" w:hAnsi="Times New Roman" w:cs="Times New Roman"/>
                <w:b/>
                <w:bCs/>
                <w:color w:val="FFFFFF" w:themeColor="background1"/>
                <w:lang w:eastAsia="it-IT"/>
              </w:rPr>
            </w:pPr>
            <w:r w:rsidRPr="006D52C0">
              <w:rPr>
                <w:rFonts w:ascii="Times New Roman" w:eastAsia="Times New Roman" w:hAnsi="Times New Roman" w:cs="Times New Roman"/>
                <w:b/>
                <w:bCs/>
                <w:color w:val="FFFFFF" w:themeColor="background1"/>
                <w:lang w:eastAsia="it-IT"/>
              </w:rPr>
              <w:t xml:space="preserve">Numero </w:t>
            </w:r>
          </w:p>
        </w:tc>
        <w:tc>
          <w:tcPr>
            <w:tcW w:w="6598" w:type="dxa"/>
            <w:tcBorders>
              <w:top w:val="single" w:sz="4" w:space="0" w:color="8EA9DB"/>
              <w:left w:val="single" w:sz="4" w:space="0" w:color="8EA9DB"/>
              <w:bottom w:val="single" w:sz="4" w:space="0" w:color="8EA9DB"/>
              <w:right w:val="single" w:sz="4" w:space="0" w:color="8EA9DB"/>
            </w:tcBorders>
            <w:shd w:val="clear" w:color="auto" w:fill="8DB3E2" w:themeFill="text2" w:themeFillTint="66"/>
            <w:noWrap/>
            <w:hideMark/>
          </w:tcPr>
          <w:p w14:paraId="631AF663" w14:textId="77777777" w:rsidR="006D52C0" w:rsidRPr="006D52C0" w:rsidRDefault="006D52C0" w:rsidP="006D52C0">
            <w:pPr>
              <w:spacing w:after="0" w:line="240" w:lineRule="auto"/>
              <w:rPr>
                <w:rFonts w:ascii="Times New Roman" w:eastAsia="Times New Roman" w:hAnsi="Times New Roman" w:cs="Times New Roman"/>
                <w:b/>
                <w:bCs/>
                <w:color w:val="FFFFFF" w:themeColor="background1"/>
                <w:lang w:eastAsia="it-IT"/>
              </w:rPr>
            </w:pPr>
            <w:r w:rsidRPr="006D52C0">
              <w:rPr>
                <w:rFonts w:ascii="Times New Roman" w:eastAsia="Times New Roman" w:hAnsi="Times New Roman" w:cs="Times New Roman"/>
                <w:b/>
                <w:bCs/>
                <w:color w:val="FFFFFF" w:themeColor="background1"/>
                <w:lang w:eastAsia="it-IT"/>
              </w:rPr>
              <w:t>Criterio</w:t>
            </w:r>
          </w:p>
        </w:tc>
      </w:tr>
      <w:tr w:rsidR="006D52C0" w:rsidRPr="006D52C0" w14:paraId="4290937B" w14:textId="77777777" w:rsidTr="006D52C0">
        <w:trPr>
          <w:trHeight w:val="552"/>
        </w:trPr>
        <w:tc>
          <w:tcPr>
            <w:tcW w:w="910" w:type="dxa"/>
            <w:tcBorders>
              <w:top w:val="single" w:sz="4" w:space="0" w:color="8EA9DB"/>
              <w:left w:val="single" w:sz="4" w:space="0" w:color="8EA9DB"/>
              <w:bottom w:val="single" w:sz="4" w:space="0" w:color="8EA9DB"/>
              <w:right w:val="single" w:sz="4" w:space="0" w:color="8EA9DB"/>
            </w:tcBorders>
            <w:shd w:val="clear" w:color="auto" w:fill="auto"/>
            <w:noWrap/>
            <w:hideMark/>
          </w:tcPr>
          <w:p w14:paraId="5308BD7B" w14:textId="77777777" w:rsidR="006D52C0" w:rsidRPr="006D52C0" w:rsidRDefault="006D52C0" w:rsidP="006D52C0">
            <w:pPr>
              <w:spacing w:after="0" w:line="240" w:lineRule="auto"/>
              <w:jc w:val="right"/>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1</w:t>
            </w:r>
          </w:p>
        </w:tc>
        <w:tc>
          <w:tcPr>
            <w:tcW w:w="6598" w:type="dxa"/>
            <w:tcBorders>
              <w:top w:val="single" w:sz="4" w:space="0" w:color="8EA9DB"/>
              <w:left w:val="single" w:sz="4" w:space="0" w:color="8EA9DB"/>
              <w:bottom w:val="single" w:sz="4" w:space="0" w:color="8EA9DB"/>
              <w:right w:val="single" w:sz="4" w:space="0" w:color="8EA9DB"/>
            </w:tcBorders>
            <w:shd w:val="clear" w:color="auto" w:fill="auto"/>
            <w:hideMark/>
          </w:tcPr>
          <w:p w14:paraId="1159F173" w14:textId="77777777" w:rsidR="006D52C0" w:rsidRPr="006D52C0" w:rsidRDefault="006D52C0" w:rsidP="006D52C0">
            <w:pPr>
              <w:spacing w:after="0" w:line="240" w:lineRule="auto"/>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Ricaduta durante o al termine del trattamento con GC</w:t>
            </w:r>
          </w:p>
        </w:tc>
      </w:tr>
      <w:tr w:rsidR="006D52C0" w:rsidRPr="006D52C0" w14:paraId="780E8FB9" w14:textId="77777777" w:rsidTr="006D52C0">
        <w:trPr>
          <w:trHeight w:val="828"/>
        </w:trPr>
        <w:tc>
          <w:tcPr>
            <w:tcW w:w="910" w:type="dxa"/>
            <w:tcBorders>
              <w:top w:val="single" w:sz="4" w:space="0" w:color="8EA9DB"/>
              <w:left w:val="single" w:sz="4" w:space="0" w:color="8EA9DB"/>
              <w:bottom w:val="single" w:sz="4" w:space="0" w:color="8EA9DB"/>
              <w:right w:val="single" w:sz="4" w:space="0" w:color="8EA9DB"/>
            </w:tcBorders>
            <w:shd w:val="clear" w:color="auto" w:fill="auto"/>
            <w:noWrap/>
            <w:hideMark/>
          </w:tcPr>
          <w:p w14:paraId="3F76B332" w14:textId="77777777" w:rsidR="006D52C0" w:rsidRPr="006D52C0" w:rsidRDefault="006D52C0" w:rsidP="006D52C0">
            <w:pPr>
              <w:spacing w:after="0" w:line="240" w:lineRule="auto"/>
              <w:jc w:val="right"/>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2</w:t>
            </w:r>
          </w:p>
        </w:tc>
        <w:tc>
          <w:tcPr>
            <w:tcW w:w="6598" w:type="dxa"/>
            <w:tcBorders>
              <w:top w:val="single" w:sz="4" w:space="0" w:color="8EA9DB"/>
              <w:left w:val="single" w:sz="4" w:space="0" w:color="8EA9DB"/>
              <w:bottom w:val="single" w:sz="4" w:space="0" w:color="8EA9DB"/>
              <w:right w:val="single" w:sz="4" w:space="0" w:color="8EA9DB"/>
            </w:tcBorders>
            <w:shd w:val="clear" w:color="auto" w:fill="auto"/>
            <w:hideMark/>
          </w:tcPr>
          <w:p w14:paraId="47C55304" w14:textId="77777777" w:rsidR="006D52C0" w:rsidRPr="006D52C0" w:rsidRDefault="006D52C0" w:rsidP="006D52C0">
            <w:pPr>
              <w:spacing w:after="0" w:line="240" w:lineRule="auto"/>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Arterite dei grossi vasi dimostrata con biopsia o con indagini di imaging (RM, PET/TC o angio-TC)</w:t>
            </w:r>
          </w:p>
        </w:tc>
      </w:tr>
      <w:tr w:rsidR="006D52C0" w:rsidRPr="006D52C0" w14:paraId="75CC8A58" w14:textId="77777777" w:rsidTr="006D52C0">
        <w:trPr>
          <w:trHeight w:val="288"/>
        </w:trPr>
        <w:tc>
          <w:tcPr>
            <w:tcW w:w="910" w:type="dxa"/>
            <w:tcBorders>
              <w:top w:val="single" w:sz="4" w:space="0" w:color="8EA9DB"/>
              <w:left w:val="single" w:sz="4" w:space="0" w:color="8EA9DB"/>
              <w:bottom w:val="single" w:sz="4" w:space="0" w:color="8EA9DB"/>
              <w:right w:val="single" w:sz="4" w:space="0" w:color="8EA9DB"/>
            </w:tcBorders>
            <w:shd w:val="clear" w:color="auto" w:fill="auto"/>
            <w:noWrap/>
            <w:hideMark/>
          </w:tcPr>
          <w:p w14:paraId="61ACB327" w14:textId="77777777" w:rsidR="006D52C0" w:rsidRPr="006D52C0" w:rsidRDefault="006D52C0" w:rsidP="006D52C0">
            <w:pPr>
              <w:spacing w:after="0" w:line="240" w:lineRule="auto"/>
              <w:jc w:val="right"/>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3</w:t>
            </w:r>
          </w:p>
        </w:tc>
        <w:tc>
          <w:tcPr>
            <w:tcW w:w="6598" w:type="dxa"/>
            <w:tcBorders>
              <w:top w:val="single" w:sz="4" w:space="0" w:color="8EA9DB"/>
              <w:left w:val="single" w:sz="4" w:space="0" w:color="8EA9DB"/>
              <w:bottom w:val="single" w:sz="4" w:space="0" w:color="8EA9DB"/>
              <w:right w:val="single" w:sz="4" w:space="0" w:color="8EA9DB"/>
            </w:tcBorders>
            <w:shd w:val="clear" w:color="auto" w:fill="auto"/>
            <w:noWrap/>
            <w:hideMark/>
          </w:tcPr>
          <w:p w14:paraId="3961BE41" w14:textId="77777777" w:rsidR="006D52C0" w:rsidRPr="006D52C0" w:rsidRDefault="006D52C0" w:rsidP="006D52C0">
            <w:pPr>
              <w:spacing w:after="0" w:line="240" w:lineRule="auto"/>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Arterite giantocellulare clinicamente attiva</w:t>
            </w:r>
          </w:p>
        </w:tc>
      </w:tr>
      <w:tr w:rsidR="006D52C0" w:rsidRPr="006D52C0" w14:paraId="6BC9EB07" w14:textId="77777777" w:rsidTr="006D52C0">
        <w:trPr>
          <w:trHeight w:val="288"/>
        </w:trPr>
        <w:tc>
          <w:tcPr>
            <w:tcW w:w="910" w:type="dxa"/>
            <w:tcBorders>
              <w:top w:val="single" w:sz="4" w:space="0" w:color="8EA9DB"/>
              <w:left w:val="single" w:sz="4" w:space="0" w:color="8EA9DB"/>
              <w:bottom w:val="single" w:sz="4" w:space="0" w:color="8EA9DB"/>
              <w:right w:val="single" w:sz="4" w:space="0" w:color="8EA9DB"/>
            </w:tcBorders>
            <w:shd w:val="clear" w:color="auto" w:fill="auto"/>
            <w:noWrap/>
            <w:hideMark/>
          </w:tcPr>
          <w:p w14:paraId="42E43DCA" w14:textId="77777777" w:rsidR="006D52C0" w:rsidRPr="006D52C0" w:rsidRDefault="006D52C0" w:rsidP="006D52C0">
            <w:pPr>
              <w:spacing w:after="0" w:line="240" w:lineRule="auto"/>
              <w:jc w:val="right"/>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4</w:t>
            </w:r>
          </w:p>
        </w:tc>
        <w:tc>
          <w:tcPr>
            <w:tcW w:w="6598" w:type="dxa"/>
            <w:tcBorders>
              <w:top w:val="single" w:sz="4" w:space="0" w:color="8EA9DB"/>
              <w:left w:val="single" w:sz="4" w:space="0" w:color="8EA9DB"/>
              <w:bottom w:val="single" w:sz="4" w:space="0" w:color="8EA9DB"/>
              <w:right w:val="single" w:sz="4" w:space="0" w:color="8EA9DB"/>
            </w:tcBorders>
            <w:shd w:val="clear" w:color="auto" w:fill="auto"/>
            <w:noWrap/>
            <w:hideMark/>
          </w:tcPr>
          <w:p w14:paraId="492356E8" w14:textId="77777777" w:rsidR="006D52C0" w:rsidRPr="006D52C0" w:rsidRDefault="006D52C0" w:rsidP="006D52C0">
            <w:pPr>
              <w:spacing w:after="0" w:line="240" w:lineRule="auto"/>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VES e PCR alterate</w:t>
            </w:r>
          </w:p>
        </w:tc>
      </w:tr>
      <w:tr w:rsidR="006D52C0" w:rsidRPr="006D52C0" w14:paraId="16F8F86E" w14:textId="77777777" w:rsidTr="006D52C0">
        <w:trPr>
          <w:trHeight w:val="828"/>
        </w:trPr>
        <w:tc>
          <w:tcPr>
            <w:tcW w:w="910" w:type="dxa"/>
            <w:tcBorders>
              <w:top w:val="single" w:sz="4" w:space="0" w:color="8EA9DB"/>
              <w:left w:val="single" w:sz="4" w:space="0" w:color="8EA9DB"/>
              <w:bottom w:val="single" w:sz="4" w:space="0" w:color="8EA9DB"/>
              <w:right w:val="single" w:sz="4" w:space="0" w:color="8EA9DB"/>
            </w:tcBorders>
            <w:shd w:val="clear" w:color="auto" w:fill="auto"/>
            <w:noWrap/>
            <w:hideMark/>
          </w:tcPr>
          <w:p w14:paraId="3C4A6933" w14:textId="77777777" w:rsidR="006D52C0" w:rsidRPr="006D52C0" w:rsidRDefault="006D52C0" w:rsidP="006D52C0">
            <w:pPr>
              <w:spacing w:after="0" w:line="240" w:lineRule="auto"/>
              <w:jc w:val="right"/>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5</w:t>
            </w:r>
          </w:p>
        </w:tc>
        <w:tc>
          <w:tcPr>
            <w:tcW w:w="6598" w:type="dxa"/>
            <w:tcBorders>
              <w:top w:val="single" w:sz="4" w:space="0" w:color="8EA9DB"/>
              <w:left w:val="single" w:sz="4" w:space="0" w:color="8EA9DB"/>
              <w:bottom w:val="single" w:sz="4" w:space="0" w:color="8EA9DB"/>
              <w:right w:val="single" w:sz="4" w:space="0" w:color="8EA9DB"/>
            </w:tcBorders>
            <w:shd w:val="clear" w:color="auto" w:fill="auto"/>
            <w:hideMark/>
          </w:tcPr>
          <w:p w14:paraId="0DB29489" w14:textId="77777777" w:rsidR="006D52C0" w:rsidRPr="006D52C0" w:rsidRDefault="006D52C0" w:rsidP="006D52C0">
            <w:pPr>
              <w:spacing w:after="0" w:line="240" w:lineRule="auto"/>
              <w:rPr>
                <w:rFonts w:ascii="Times New Roman" w:eastAsia="Times New Roman" w:hAnsi="Times New Roman" w:cs="Times New Roman"/>
                <w:color w:val="000000"/>
                <w:lang w:eastAsia="it-IT"/>
              </w:rPr>
            </w:pPr>
            <w:r w:rsidRPr="006D52C0">
              <w:rPr>
                <w:rFonts w:ascii="Times New Roman" w:eastAsia="Times New Roman" w:hAnsi="Times New Roman" w:cs="Times New Roman"/>
                <w:color w:val="000000"/>
                <w:lang w:eastAsia="it-IT"/>
              </w:rPr>
              <w:t>Effetti collaterali del trattamento con GC o elevato rischio di tali effetti collaterali per un futuro trattamento con GC</w:t>
            </w:r>
          </w:p>
        </w:tc>
      </w:tr>
    </w:tbl>
    <w:p w14:paraId="50F286AC" w14:textId="4B98EE6A" w:rsidR="001A08BD" w:rsidRDefault="001A08BD" w:rsidP="009464C3">
      <w:pPr>
        <w:spacing w:line="360" w:lineRule="auto"/>
        <w:rPr>
          <w:rFonts w:ascii="Times New Roman" w:hAnsi="Times New Roman" w:cs="Times New Roman"/>
        </w:rPr>
      </w:pPr>
    </w:p>
    <w:p w14:paraId="44FF3EA3" w14:textId="309830E0" w:rsidR="003526DC" w:rsidRPr="002044F0" w:rsidRDefault="003526DC" w:rsidP="003526DC">
      <w:pPr>
        <w:spacing w:line="480" w:lineRule="auto"/>
        <w:rPr>
          <w:rFonts w:ascii="Times New Roman" w:hAnsi="Times New Roman" w:cs="Times New Roman"/>
          <w:sz w:val="24"/>
          <w:szCs w:val="24"/>
        </w:rPr>
      </w:pPr>
      <w:r w:rsidRPr="002044F0">
        <w:rPr>
          <w:rFonts w:ascii="Times New Roman" w:hAnsi="Times New Roman" w:cs="Times New Roman"/>
          <w:sz w:val="24"/>
          <w:szCs w:val="24"/>
        </w:rPr>
        <w:t xml:space="preserve">La terapia complessiva deve essere comunque decisa in base alla variante clinica di AGC, alle comorbidità del paziente e in base al rischio/beneficio del singolo caso e può inoltre essere completata con gastroprotettori (PPI) e un trattamento di protezione dell’apparato scheletrico con bifosfonati, calcio e vitamina D </w:t>
      </w:r>
      <w:r w:rsidRPr="002044F0">
        <w:rPr>
          <w:rFonts w:ascii="Times New Roman" w:hAnsi="Times New Roman" w:cs="Times New Roman"/>
          <w:sz w:val="24"/>
          <w:szCs w:val="24"/>
        </w:rPr>
        <w:fldChar w:fldCharType="begin" w:fldLock="1"/>
      </w:r>
      <w:r w:rsidRPr="002044F0">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Pr="002044F0">
        <w:rPr>
          <w:rFonts w:ascii="Times New Roman" w:hAnsi="Times New Roman" w:cs="Times New Roman"/>
          <w:sz w:val="24"/>
          <w:szCs w:val="24"/>
        </w:rPr>
        <w:fldChar w:fldCharType="separate"/>
      </w:r>
      <w:r w:rsidRPr="002044F0">
        <w:rPr>
          <w:rFonts w:ascii="Times New Roman" w:hAnsi="Times New Roman" w:cs="Times New Roman"/>
          <w:noProof/>
          <w:sz w:val="24"/>
          <w:szCs w:val="24"/>
          <w:vertAlign w:val="superscript"/>
        </w:rPr>
        <w:t>16</w:t>
      </w:r>
      <w:r w:rsidRPr="002044F0">
        <w:rPr>
          <w:rFonts w:ascii="Times New Roman" w:hAnsi="Times New Roman" w:cs="Times New Roman"/>
          <w:sz w:val="24"/>
          <w:szCs w:val="24"/>
        </w:rPr>
        <w:fldChar w:fldCharType="end"/>
      </w:r>
      <w:r w:rsidRPr="002044F0">
        <w:rPr>
          <w:rFonts w:ascii="Times New Roman" w:hAnsi="Times New Roman" w:cs="Times New Roman"/>
          <w:sz w:val="24"/>
          <w:szCs w:val="24"/>
        </w:rPr>
        <w:t>.</w:t>
      </w:r>
    </w:p>
    <w:p w14:paraId="032560C3" w14:textId="77777777" w:rsidR="001A08BD" w:rsidRPr="002044F0" w:rsidRDefault="001A08BD" w:rsidP="004258B6">
      <w:pPr>
        <w:spacing w:line="480" w:lineRule="auto"/>
        <w:rPr>
          <w:rFonts w:ascii="Times New Roman" w:hAnsi="Times New Roman" w:cs="Times New Roman"/>
          <w:sz w:val="24"/>
          <w:szCs w:val="24"/>
        </w:rPr>
      </w:pPr>
      <w:r w:rsidRPr="002044F0">
        <w:rPr>
          <w:rFonts w:ascii="Times New Roman" w:hAnsi="Times New Roman" w:cs="Times New Roman"/>
          <w:sz w:val="24"/>
          <w:szCs w:val="24"/>
        </w:rPr>
        <w:t>A fianco alla terapia farmacologica è possibile anche una terapia di tipo chirurgico</w:t>
      </w:r>
      <w:r w:rsidR="00AE70FA" w:rsidRPr="002044F0">
        <w:rPr>
          <w:rFonts w:ascii="Times New Roman" w:hAnsi="Times New Roman" w:cs="Times New Roman"/>
          <w:sz w:val="24"/>
          <w:szCs w:val="24"/>
        </w:rPr>
        <w:t xml:space="preserve"> in caso di lesioni occlusive o aneurismatiche</w:t>
      </w:r>
      <w:r w:rsidRPr="002044F0">
        <w:rPr>
          <w:rFonts w:ascii="Times New Roman" w:hAnsi="Times New Roman" w:cs="Times New Roman"/>
          <w:sz w:val="24"/>
          <w:szCs w:val="24"/>
        </w:rPr>
        <w:t>. La chirurgia ricostruttiva non è raccomandata durante la fase attiva dell’infiammazione, fin tanto che la maggior parte dei pazienti risponde alla terapia con i GC. Inoltre le anastomosi fra i vasi tendono ad occludersi quando realizzate durante la fase attiva della AGC.</w:t>
      </w:r>
    </w:p>
    <w:p w14:paraId="4BFDB802" w14:textId="77777777" w:rsidR="001A08BD" w:rsidRPr="002044F0" w:rsidRDefault="00AE70FA" w:rsidP="004258B6">
      <w:pPr>
        <w:spacing w:line="480" w:lineRule="auto"/>
        <w:rPr>
          <w:rFonts w:ascii="Times New Roman" w:hAnsi="Times New Roman" w:cs="Times New Roman"/>
          <w:sz w:val="24"/>
          <w:szCs w:val="24"/>
        </w:rPr>
      </w:pPr>
      <w:r w:rsidRPr="002044F0">
        <w:rPr>
          <w:rFonts w:ascii="Times New Roman" w:hAnsi="Times New Roman" w:cs="Times New Roman"/>
          <w:sz w:val="24"/>
          <w:szCs w:val="24"/>
        </w:rPr>
        <w:lastRenderedPageBreak/>
        <w:t xml:space="preserve">La percentuale </w:t>
      </w:r>
      <w:r w:rsidR="001A08BD" w:rsidRPr="002044F0">
        <w:rPr>
          <w:rFonts w:ascii="Times New Roman" w:hAnsi="Times New Roman" w:cs="Times New Roman"/>
          <w:sz w:val="24"/>
          <w:szCs w:val="24"/>
        </w:rPr>
        <w:t>di successo delle tecniche di rivascolarizzazione dell’arto superiore varia dal 50%, in caso di occlusione, al 100% in caso di stenosi.</w:t>
      </w:r>
    </w:p>
    <w:p w14:paraId="5F891425" w14:textId="77777777" w:rsidR="001A08BD" w:rsidRPr="002044F0" w:rsidRDefault="001A08BD" w:rsidP="004258B6">
      <w:pPr>
        <w:spacing w:line="480" w:lineRule="auto"/>
        <w:rPr>
          <w:rFonts w:ascii="Times New Roman" w:hAnsi="Times New Roman" w:cs="Times New Roman"/>
          <w:sz w:val="24"/>
          <w:szCs w:val="24"/>
        </w:rPr>
      </w:pPr>
      <w:r w:rsidRPr="002044F0">
        <w:rPr>
          <w:rFonts w:ascii="Times New Roman" w:hAnsi="Times New Roman" w:cs="Times New Roman"/>
          <w:sz w:val="24"/>
          <w:szCs w:val="24"/>
        </w:rPr>
        <w:t>Le lesioni ricorrenti si sviluppano principalmente nel territorio in cui inizialmente si era sviluppata una lesione di un segmento vascolare di lunghezza &gt;3cm.</w:t>
      </w:r>
    </w:p>
    <w:p w14:paraId="28D6C41B" w14:textId="77777777" w:rsidR="00B56763" w:rsidRPr="002044F0" w:rsidRDefault="001A08BD" w:rsidP="004258B6">
      <w:pPr>
        <w:spacing w:line="480" w:lineRule="auto"/>
        <w:rPr>
          <w:rFonts w:ascii="Times New Roman" w:hAnsi="Times New Roman" w:cs="Times New Roman"/>
          <w:sz w:val="24"/>
          <w:szCs w:val="24"/>
        </w:rPr>
      </w:pPr>
      <w:r w:rsidRPr="002044F0">
        <w:rPr>
          <w:rFonts w:ascii="Times New Roman" w:hAnsi="Times New Roman" w:cs="Times New Roman"/>
          <w:sz w:val="24"/>
          <w:szCs w:val="24"/>
        </w:rPr>
        <w:t xml:space="preserve">L’intervento al fine di riparare un aneurisma aortico AGC correlato sembra una procedura sicura ed efficace. Viene eseguito preferibilmente con tecnica </w:t>
      </w:r>
      <w:r w:rsidR="00AE70FA" w:rsidRPr="002044F0">
        <w:rPr>
          <w:rFonts w:ascii="Times New Roman" w:hAnsi="Times New Roman" w:cs="Times New Roman"/>
          <w:sz w:val="24"/>
          <w:szCs w:val="24"/>
        </w:rPr>
        <w:t>aperta</w:t>
      </w:r>
      <w:r w:rsidRPr="002044F0">
        <w:rPr>
          <w:rFonts w:ascii="Times New Roman" w:hAnsi="Times New Roman" w:cs="Times New Roman"/>
          <w:sz w:val="24"/>
          <w:szCs w:val="24"/>
        </w:rPr>
        <w:t xml:space="preserve"> quando il soggetto presenta comorbidità minori o bassa mortalità attesa. I soggetti sottoposti ad un intervento di riparazione di un aneurisma del tratto ascendente dell’aorta, secondario a AGC, dovranno essere sottoposti ad uno screening periodico per tutta la rimanente durata della vita per valutare la restante parte dell’aorta, in quanto una percentuale significativa di questi soggetti richiederà in seguito un secondo intervento per un danno ad una porzione più distale del vaso </w:t>
      </w:r>
      <w:r w:rsidR="009C18B0" w:rsidRPr="002044F0">
        <w:rPr>
          <w:rFonts w:ascii="Times New Roman" w:hAnsi="Times New Roman" w:cs="Times New Roman"/>
          <w:sz w:val="24"/>
          <w:szCs w:val="24"/>
        </w:rPr>
        <w:fldChar w:fldCharType="begin" w:fldLock="1"/>
      </w:r>
      <w:r w:rsidR="00F66ECC" w:rsidRPr="002044F0">
        <w:rPr>
          <w:rFonts w:ascii="Times New Roman" w:hAnsi="Times New Roman" w:cs="Times New Roman"/>
          <w:sz w:val="24"/>
          <w:szCs w:val="24"/>
        </w:rPr>
        <w:instrText>ADDIN CSL_CITATION {"citationItems":[{"id":"ITEM-1","itemData":{"ISSN":"03002977","abstract":"A systematic literature search was performed to summarise current knowledge on extracranial giant cell arteritis (GCA), i.e. large-artery involvement in patients with or without clinically apparent temporal arteritis (cranial GCA). Extracranial GCA is increasingly recognised, both in patients with cranial GCA and with solitary extracranial GCA, due to increased awareness among physicians and development of modern imaging modalities. The literature on the pathogenesis and histopathology of extracranial GCA is scarce. It is considered to be similar to cranial GCA. Patients with solitary extracranial GCA often present with non-specific signs and symptoms, although vascular manifestations, mostly secondary to stenosis, may occur. Due to the non-specific clinical presentation and low sensitivity of temporal artery biopsies, extracranial GCA is usually diagnosed by imaging. 18F-FDG-PET, MRI, CT angiography and ultrasound are used for this purpose. At present, the optimal diagnostic strategy is undetermined. The choice for a particular modality can be guided by the clinical scenario that raises suspicion of extracranial GCA, in addition to local availability and expertise. Extracranial complications in GCA consist of aortic aneurysm or dissection (mainly the ascending aorta), aortic arch syndrome, arm claudication and posterior stroke (although this is technically a cranial complication, it often results from stenosis of the vertebrobasilar arteries). Mortality is generally not increased in patients with GCA. Treatment of patients with solitary extracranial and those with extracranial and cranial GCA has been debated in the recent literature. In general, the same strategy is applied as in patients with temporal arteritis, although criteria regarding who to treat are unclear. Surgical procedures may be indicated, in which case optimal medical treatment prior to surgery is important.","author":[{"dropping-particle":"","family":"Lensen","given":"K. D.F.","non-dropping-particle":"","parse-names":false,"suffix":""},{"dropping-particle":"","family":"Voskuyl","given":"A. E.","non-dropping-particle":"","parse-names":false,"suffix":""},{"dropping-particle":"","family":"Comans","given":"E. F.I.","non-dropping-particle":"","parse-names":false,"suffix":""},{"dropping-particle":"","family":"Laken","given":"C. J.","non-dropping-particle":"van der","parse-names":false,"suffix":""},{"dropping-particle":"","family":"Smulders","given":"Y. M.","non-dropping-particle":"","parse-names":false,"suffix":""}],"container-title":"Netherlands Journal of Medicine","id":"ITEM-1","issue":"5","issued":{"date-parts":[["2016"]]},"page":"182-192","title":"Extracranial giant cell arteritis: A narrative review","type":"article-journal","volume":"74"},"uris":["http://www.mendeley.com/documents/?uuid=e0f6e6de-296c-4c57-81b1-02a05decd7ea"]}],"mendeley":{"formattedCitation":"&lt;sup&gt;2&lt;/sup&gt;","plainTextFormattedCitation":"2","previouslyFormattedCitation":"&lt;sup&gt;2&lt;/sup&gt;"},"properties":{"noteIndex":0},"schema":"https://github.com/citation-style-language/schema/raw/master/csl-citation.json"}</w:instrText>
      </w:r>
      <w:r w:rsidR="009C18B0" w:rsidRPr="002044F0">
        <w:rPr>
          <w:rFonts w:ascii="Times New Roman" w:hAnsi="Times New Roman" w:cs="Times New Roman"/>
          <w:sz w:val="24"/>
          <w:szCs w:val="24"/>
        </w:rPr>
        <w:fldChar w:fldCharType="separate"/>
      </w:r>
      <w:r w:rsidR="00C41B3B" w:rsidRPr="002044F0">
        <w:rPr>
          <w:rFonts w:ascii="Times New Roman" w:hAnsi="Times New Roman" w:cs="Times New Roman"/>
          <w:noProof/>
          <w:sz w:val="24"/>
          <w:szCs w:val="24"/>
          <w:vertAlign w:val="superscript"/>
        </w:rPr>
        <w:t>2</w:t>
      </w:r>
      <w:r w:rsidR="009C18B0" w:rsidRPr="002044F0">
        <w:rPr>
          <w:rFonts w:ascii="Times New Roman" w:hAnsi="Times New Roman" w:cs="Times New Roman"/>
          <w:sz w:val="24"/>
          <w:szCs w:val="24"/>
        </w:rPr>
        <w:fldChar w:fldCharType="end"/>
      </w:r>
      <w:r w:rsidRPr="002044F0">
        <w:rPr>
          <w:rFonts w:ascii="Times New Roman" w:hAnsi="Times New Roman" w:cs="Times New Roman"/>
          <w:sz w:val="24"/>
          <w:szCs w:val="24"/>
        </w:rPr>
        <w:t>.</w:t>
      </w:r>
    </w:p>
    <w:p w14:paraId="522E1287" w14:textId="77777777" w:rsidR="005A6840" w:rsidRPr="00F555AD" w:rsidRDefault="005A6840" w:rsidP="004258B6">
      <w:pPr>
        <w:spacing w:line="480" w:lineRule="auto"/>
        <w:rPr>
          <w:rFonts w:ascii="Times New Roman" w:hAnsi="Times New Roman" w:cs="Times New Roman"/>
        </w:rPr>
      </w:pPr>
    </w:p>
    <w:p w14:paraId="4C89B343" w14:textId="77777777" w:rsidR="001A08BD" w:rsidRPr="005A6840" w:rsidRDefault="001A08BD" w:rsidP="005A6840">
      <w:pPr>
        <w:pStyle w:val="Titolo2"/>
        <w:spacing w:line="480" w:lineRule="auto"/>
        <w:rPr>
          <w:rFonts w:ascii="Times New Roman" w:hAnsi="Times New Roman" w:cs="Times New Roman"/>
          <w:b w:val="0"/>
          <w:color w:val="auto"/>
          <w:sz w:val="24"/>
          <w:szCs w:val="24"/>
        </w:rPr>
      </w:pPr>
      <w:bookmarkStart w:id="9" w:name="_Toc12908073"/>
      <w:r w:rsidRPr="00974501">
        <w:rPr>
          <w:rFonts w:ascii="Times New Roman" w:hAnsi="Times New Roman" w:cs="Times New Roman"/>
          <w:color w:val="auto"/>
          <w:sz w:val="24"/>
          <w:szCs w:val="24"/>
        </w:rPr>
        <w:t xml:space="preserve">2.5 </w:t>
      </w:r>
      <w:r w:rsidRPr="00E34ED2">
        <w:rPr>
          <w:rFonts w:ascii="Times New Roman" w:hAnsi="Times New Roman" w:cs="Times New Roman"/>
          <w:color w:val="auto"/>
          <w:sz w:val="28"/>
          <w:szCs w:val="28"/>
        </w:rPr>
        <w:t>Follow-up</w:t>
      </w:r>
      <w:bookmarkEnd w:id="9"/>
    </w:p>
    <w:p w14:paraId="59AEF298" w14:textId="77777777" w:rsidR="001A08BD" w:rsidRPr="002044F0" w:rsidRDefault="001A08BD" w:rsidP="005E6E8B">
      <w:pPr>
        <w:spacing w:line="480" w:lineRule="auto"/>
        <w:rPr>
          <w:rFonts w:ascii="Times New Roman" w:hAnsi="Times New Roman" w:cs="Times New Roman"/>
          <w:sz w:val="24"/>
          <w:szCs w:val="24"/>
        </w:rPr>
      </w:pPr>
      <w:r w:rsidRPr="002044F0">
        <w:rPr>
          <w:rFonts w:ascii="Times New Roman" w:hAnsi="Times New Roman" w:cs="Times New Roman"/>
          <w:sz w:val="24"/>
          <w:szCs w:val="24"/>
        </w:rPr>
        <w:t>Second</w:t>
      </w:r>
      <w:r w:rsidR="00120A02" w:rsidRPr="002044F0">
        <w:rPr>
          <w:rFonts w:ascii="Times New Roman" w:hAnsi="Times New Roman" w:cs="Times New Roman"/>
          <w:sz w:val="24"/>
          <w:szCs w:val="24"/>
        </w:rPr>
        <w:t>o</w:t>
      </w:r>
      <w:r w:rsidRPr="002044F0">
        <w:rPr>
          <w:rFonts w:ascii="Times New Roman" w:hAnsi="Times New Roman" w:cs="Times New Roman"/>
          <w:sz w:val="24"/>
          <w:szCs w:val="24"/>
        </w:rPr>
        <w:t xml:space="preserve"> le ultime linee guida pubblicate della British Society for Rheumatology (BSR) e British Health Professionals in Rheumatology (BHPR) </w:t>
      </w:r>
      <w:r w:rsidR="009C18B0" w:rsidRPr="002044F0">
        <w:rPr>
          <w:rFonts w:ascii="Times New Roman" w:hAnsi="Times New Roman" w:cs="Times New Roman"/>
          <w:sz w:val="24"/>
          <w:szCs w:val="24"/>
        </w:rPr>
        <w:fldChar w:fldCharType="begin" w:fldLock="1"/>
      </w:r>
      <w:r w:rsidR="00F66ECC" w:rsidRPr="002044F0">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9C18B0" w:rsidRPr="002044F0">
        <w:rPr>
          <w:rFonts w:ascii="Times New Roman" w:hAnsi="Times New Roman" w:cs="Times New Roman"/>
          <w:sz w:val="24"/>
          <w:szCs w:val="24"/>
        </w:rPr>
        <w:fldChar w:fldCharType="separate"/>
      </w:r>
      <w:r w:rsidR="00C41B3B" w:rsidRPr="002044F0">
        <w:rPr>
          <w:rFonts w:ascii="Times New Roman" w:hAnsi="Times New Roman" w:cs="Times New Roman"/>
          <w:noProof/>
          <w:sz w:val="24"/>
          <w:szCs w:val="24"/>
          <w:vertAlign w:val="superscript"/>
        </w:rPr>
        <w:t>16</w:t>
      </w:r>
      <w:r w:rsidR="009C18B0" w:rsidRPr="002044F0">
        <w:rPr>
          <w:rFonts w:ascii="Times New Roman" w:hAnsi="Times New Roman" w:cs="Times New Roman"/>
          <w:sz w:val="24"/>
          <w:szCs w:val="24"/>
        </w:rPr>
        <w:fldChar w:fldCharType="end"/>
      </w:r>
      <w:r w:rsidRPr="002044F0">
        <w:rPr>
          <w:rFonts w:ascii="Times New Roman" w:hAnsi="Times New Roman" w:cs="Times New Roman"/>
          <w:sz w:val="24"/>
          <w:szCs w:val="24"/>
        </w:rPr>
        <w:t xml:space="preserve"> nel follow-up del paziente devono essere impostate delle visite presso il reumatologo ad 1, 3 e 6 mesi, mentre le visite definite “shared care” (visite effettua</w:t>
      </w:r>
      <w:r w:rsidR="00E1519C" w:rsidRPr="002044F0">
        <w:rPr>
          <w:rFonts w:ascii="Times New Roman" w:hAnsi="Times New Roman" w:cs="Times New Roman"/>
          <w:sz w:val="24"/>
          <w:szCs w:val="24"/>
        </w:rPr>
        <w:t>t</w:t>
      </w:r>
      <w:r w:rsidRPr="002044F0">
        <w:rPr>
          <w:rFonts w:ascii="Times New Roman" w:hAnsi="Times New Roman" w:cs="Times New Roman"/>
          <w:sz w:val="24"/>
          <w:szCs w:val="24"/>
        </w:rPr>
        <w:t>e da MMG con la consulenza di uno specialista) devono essere pianificate a 3, 6, 9 e 12 mesi; inoltre sono ovviamente consigliate visite aggiuntive se ritenute necessarie. La valutazione dell’efficacia del trattamento deve completarsi con i risultati delle indagini di laboratorio (VES, PCR, emocromo, elettroliti, urea, creatinina, glucosio) da effettuare ad ogni visita</w:t>
      </w:r>
      <w:r w:rsidR="001E3743" w:rsidRPr="002044F0">
        <w:rPr>
          <w:rFonts w:ascii="Times New Roman" w:hAnsi="Times New Roman" w:cs="Times New Roman"/>
          <w:sz w:val="24"/>
          <w:szCs w:val="24"/>
        </w:rPr>
        <w:fldChar w:fldCharType="begin" w:fldLock="1"/>
      </w:r>
      <w:r w:rsidR="007F7780" w:rsidRPr="002044F0">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1E3743" w:rsidRPr="002044F0">
        <w:rPr>
          <w:rFonts w:ascii="Times New Roman" w:hAnsi="Times New Roman" w:cs="Times New Roman"/>
          <w:sz w:val="24"/>
          <w:szCs w:val="24"/>
        </w:rPr>
        <w:fldChar w:fldCharType="separate"/>
      </w:r>
      <w:r w:rsidR="001E3743" w:rsidRPr="002044F0">
        <w:rPr>
          <w:rFonts w:ascii="Times New Roman" w:hAnsi="Times New Roman" w:cs="Times New Roman"/>
          <w:noProof/>
          <w:sz w:val="24"/>
          <w:szCs w:val="24"/>
          <w:vertAlign w:val="superscript"/>
        </w:rPr>
        <w:t>16</w:t>
      </w:r>
      <w:r w:rsidR="001E3743" w:rsidRPr="002044F0">
        <w:rPr>
          <w:rFonts w:ascii="Times New Roman" w:hAnsi="Times New Roman" w:cs="Times New Roman"/>
          <w:sz w:val="24"/>
          <w:szCs w:val="24"/>
        </w:rPr>
        <w:fldChar w:fldCharType="end"/>
      </w:r>
      <w:r w:rsidRPr="002044F0">
        <w:rPr>
          <w:rFonts w:ascii="Times New Roman" w:hAnsi="Times New Roman" w:cs="Times New Roman"/>
          <w:sz w:val="24"/>
          <w:szCs w:val="24"/>
        </w:rPr>
        <w:t>.</w:t>
      </w:r>
    </w:p>
    <w:p w14:paraId="279DA895" w14:textId="77777777" w:rsidR="001A08BD" w:rsidRPr="002044F0" w:rsidRDefault="001A08BD" w:rsidP="005E6E8B">
      <w:pPr>
        <w:spacing w:line="480" w:lineRule="auto"/>
        <w:rPr>
          <w:rFonts w:ascii="Times New Roman" w:hAnsi="Times New Roman" w:cs="Times New Roman"/>
          <w:sz w:val="24"/>
          <w:szCs w:val="24"/>
        </w:rPr>
      </w:pPr>
      <w:r w:rsidRPr="002044F0">
        <w:rPr>
          <w:rFonts w:ascii="Times New Roman" w:hAnsi="Times New Roman" w:cs="Times New Roman"/>
          <w:sz w:val="24"/>
          <w:szCs w:val="24"/>
        </w:rPr>
        <w:lastRenderedPageBreak/>
        <w:t xml:space="preserve">Le indagini di imaging indicate sono: una radiografia del torace ogni due anni per valutare </w:t>
      </w:r>
      <w:r w:rsidR="00AE70FA" w:rsidRPr="002044F0">
        <w:rPr>
          <w:rFonts w:ascii="Times New Roman" w:hAnsi="Times New Roman" w:cs="Times New Roman"/>
          <w:sz w:val="24"/>
          <w:szCs w:val="24"/>
        </w:rPr>
        <w:t>eventuali dilatazioni del</w:t>
      </w:r>
      <w:r w:rsidRPr="002044F0">
        <w:rPr>
          <w:rFonts w:ascii="Times New Roman" w:hAnsi="Times New Roman" w:cs="Times New Roman"/>
          <w:sz w:val="24"/>
          <w:szCs w:val="24"/>
        </w:rPr>
        <w:t>l’aorta</w:t>
      </w:r>
      <w:r w:rsidR="002F770F" w:rsidRPr="002044F0">
        <w:rPr>
          <w:rFonts w:ascii="Times New Roman" w:hAnsi="Times New Roman" w:cs="Times New Roman"/>
          <w:sz w:val="24"/>
          <w:szCs w:val="24"/>
        </w:rPr>
        <w:t>,</w:t>
      </w:r>
      <w:r w:rsidRPr="002044F0">
        <w:rPr>
          <w:rFonts w:ascii="Times New Roman" w:hAnsi="Times New Roman" w:cs="Times New Roman"/>
          <w:sz w:val="24"/>
          <w:szCs w:val="24"/>
        </w:rPr>
        <w:t xml:space="preserve"> ecocardiografia e</w:t>
      </w:r>
      <w:r w:rsidR="003D77B5" w:rsidRPr="002044F0">
        <w:rPr>
          <w:rFonts w:ascii="Times New Roman" w:hAnsi="Times New Roman" w:cs="Times New Roman"/>
          <w:sz w:val="24"/>
          <w:szCs w:val="24"/>
        </w:rPr>
        <w:t xml:space="preserve"> </w:t>
      </w:r>
      <w:r w:rsidRPr="002044F0">
        <w:rPr>
          <w:rFonts w:ascii="Times New Roman" w:hAnsi="Times New Roman" w:cs="Times New Roman"/>
          <w:sz w:val="24"/>
          <w:szCs w:val="24"/>
        </w:rPr>
        <w:t>PET, RM o TC se indicate da eventuali anomalie rilevate tramite la radiografia o segni/sintomi di interessamento dei grossi vasi</w:t>
      </w:r>
      <w:r w:rsidR="001E3743" w:rsidRPr="002044F0">
        <w:rPr>
          <w:rFonts w:ascii="Times New Roman" w:hAnsi="Times New Roman" w:cs="Times New Roman"/>
          <w:sz w:val="24"/>
          <w:szCs w:val="24"/>
        </w:rPr>
        <w:fldChar w:fldCharType="begin" w:fldLock="1"/>
      </w:r>
      <w:r w:rsidR="001E3743" w:rsidRPr="002044F0">
        <w:rPr>
          <w:rFonts w:ascii="Times New Roman" w:hAnsi="Times New Roman" w:cs="Times New Roman"/>
          <w:sz w:val="24"/>
          <w:szCs w:val="24"/>
        </w:rPr>
        <w:instrText>ADDIN CSL_CITATION {"citationItems":[{"id":"ITEM-1","itemData":{"author":[{"dropping-particle":"","family":"Adami","given":"Silvano","non-dropping-particle":"","parse-names":false,"suffix":""},{"dropping-particle":"","family":"Afeltra","given":"Antonella","non-dropping-particle":"","parse-names":false,"suffix":""},{"dropping-particle":"","family":"Alessandri","given":"Cristiano","non-dropping-particle":"","parse-names":false,"suffix":""},{"dropping-particle":"","family":"Alunno","given":"Alessia","non-dropping-particle":"","parse-names":false,"suffix":""},{"dropping-particle":"","family":"Atteritano","given":"Marco","non-dropping-particle":"","parse-names":false,"suffix":""},{"dropping-particle":"","family":"Bagnato","given":"Gianfilippo","non-dropping-particle":"","parse-names":false,"suffix":""},{"dropping-particle":"","family":"Bagnato","given":"Gianluca","non-dropping-particle":"","parse-names":false,"suffix":""},{"dropping-particle":"","family":"Bandinelli","given":"Francesca","non-dropping-particle":"","parse-names":false,"suffix":""},{"dropping-particle":"","family":"Bartoloni","given":"Elena","non-dropping-particle":"","parse-names":false,"suffix":""},{"dropping-particle":"","family":"Bombardieri","given":"Stefano","non-dropping-particle":"","parse-names":false,"suffix":""},{"dropping-particle":"","family":"Camellino","given":"Dario","non-dropping-particle":"","parse-names":false,"suffix":""},{"dropping-particle":"","family":"Cantatore","given":"Francesco Paolo","non-dropping-particle":"","parse-names":false,"suffix":""},{"dropping-particle":"","family":"Caporali","given":"Roberto","non-dropping-particle":"","parse-names":false,"suffix":""},{"dropping-particle":"","family":"Carli","given":"Linda","non-dropping-particle":"","parse-names":false,"suffix":""},{"dropping-particle":"","family":"Cauli","given":"Alberto","non-dropping-particle":"","parse-names":false,"suffix":""},{"dropping-particle":"","family":"Cimmino","given":"Marco Amedeo","non-dropping-particle":"","parse-names":false,"suffix":""},{"dropping-particle":"","family":"Cipriani","given":"Paola","non-dropping-particle":"","parse-names":false,"suffix":""},{"dropping-particle":"","family":"Conti","given":"Fabrizio","non-dropping-particle":"","parse-names":false,"suffix":""},{"dropping-particle":"","family":"Corrado","given":"Ada","non-dropping-particle":"","parse-names":false,"suffix":""},{"dropping-particle":"","family":"Cuomo","given":"Giovanna","non-dropping-particle":"","parse-names":false,"suffix":""},{"dropping-particle":"","family":"Ferraccioli","given":"Gianfranco","non-dropping-particle":"","parse-names":false,"suffix":""},{"dropping-particle":"","family":"Ferrante","given":"Angelo","non-dropping-particle":"","parse-names":false,"suffix":""},{"dropping-particle":"","family":"Galeazzi","given":"Mauro","non-dropping-particle":"","parse-names":false,"suffix":""},{"dropping-particle":"","family":"Gatti","given":"Davide","non-dropping-particle":"","parse-names":false,"suffix":""},{"dropping-particle":"","family":"Generini","given":"Sergio","non-dropping-particle":"","parse-names":false,"suffix":""},{"dropping-particle":"","family":"Gerli","given":"Roberto","non-dropping-particle":"","parse-names":false,"suffix":""},{"dropping-particle":"","family":"Gerloni","given":"Valeria","non-dropping-particle":"","parse-names":false,"suffix":""},{"dropping-particle":"","family":"Gerosa","given":"Maria","non-dropping-particle":"","parse-names":false,"suffix":""},{"dropping-particle":"","family":"Giacomelli","given":"Roberto","non-dropping-particle":"","parse-names":false,"suffix":""},{"dropping-particle":"","family":"Giuggioli","given":"Dilia","non-dropping-particle":"","parse-names":false,"suffix":""},{"dropping-particle":"","family":"Govoni","given":"Marcello","non-dropping-particle":"","parse-names":false,"suffix":""},{"dropping-particle":"","family":"Grassi","given":"Walter","non-dropping-particle":"","parse-names":false,"suffix":""},{"dropping-particle":"","family":"Gremese","given":"Elisa","non-dropping-particle":"","parse-names":false,"suffix":""},{"dropping-particle":"","family":"Iaiani","given":"Giancarlo","non-dropping-particle":"","parse-names":false,"suffix":""},{"dropping-particle":"","family":"Iannone","given":"Florenzo","non-dropping-particle":"","parse-names":false,"suffix":""},{"dropping-particle":"","family":"Ibba","given":"Valentina","non-dropping-particle":"","parse-names":false,"suffix":""},{"dropping-particle":"","family":"Lapadula","given":"Giovanni","non-dropping-particle":"","parse-names":false,"suffix":""},{"dropping-particle":"","family":"Mameli","given":"Antonella","non-dropping-particle":"","parse-names":false,"suffix":""},{"dropping-particle":"","family":"Margiotta","given":"Domenico Paolo","non-dropping-particle":"","parse-names":false,"suffix":""},{"dropping-particle":"","family":"Cerinic","given":"Marco Matucci","non-dropping-particle":"","parse-names":false,"suffix":""},{"dropping-particle":"","family":"Meliconi","given":"Riccardo","non-dropping-particle":"","parse-names":false,"suffix":""},{"dropping-particle":"","family":"Meroni","given":"Marianna","non-dropping-particle":"","parse-names":false,"suffix":""},{"dropping-particle":"","family":"Meroni","given":"Pier Luigi","non-dropping-particle":"","parse-names":false,"suffix":""},{"dropping-particle":"","family":"Minniti","given":"Antonina","non-dropping-particle":"","parse-names":false,"suffix":""},{"dropping-particle":"","family":"Montecucco","given":"Carlomaurizio","non-dropping-particle":"","parse-names":false,"suffix":""},{"dropping-particle":"","family":"Mosca","given":"Marta","non-dropping-particle":"","parse-names":false,"suffix":""},{"dropping-particle":"","family":"Mura","given":"Valentina","non-dropping-particle":"","parse-names":false,"suffix":""},{"dropping-particle":"","family":"Passiu","given":"Giuseppe","non-dropping-particle":"","parse-names":false,"suffix":""},{"dropping-particle":"","family":"Perniola","given":"Simone","non-dropping-particle":"","parse-names":false,"suffix":""},{"dropping-particle":"","family":"Perosa","given":"Federico","non-dropping-particle":"","parse-names":false,"suffix":""},{"dropping-particle":"","family":"Perricone","given":"Roberto","non-dropping-particle":"","parse-names":false,"suffix":""},{"dropping-particle":"","family":"Porta","given":"Francesco","non-dropping-particle":"","parse-names":false,"suffix":""},{"dropping-particle":"","family":"Priori","given":"Roberta","non-dropping-particle":"","parse-names":false,"suffix":""},{"dropping-particle":"","family":"Pulsatelli","given":"Lia","non-dropping-particle":"","parse-names":false,"suffix":""},{"dropping-particle":"","family":"Punzi","given":"Leonardo","non-dropping-particle":"","parse-names":false,"suffix":""},{"dropping-particle":"","family":"Rossini","given":"Maurizio","non-dropping-particle":"","parse-names":false,"suffix":""},{"dropping-particle":"","family":"Ruscitti","given":"Piero","non-dropping-particle":"","parse-names":false,"suffix":""},{"dropping-particle":"","family":"Salaffi","given":"Fausto","non-dropping-particle":"","parse-names":false,"suffix":""},{"dropping-particle":"","family":"Scrivo","given":"Rossana","non-dropping-particle":"","parse-names":false,"suffix":""},{"dropping-particle":"","family":"Sebastiani","given":"Marco","non-dropping-particle":"","parse-names":false,"suffix":""},{"dropping-particle":"","family":"Spadaro","given":"Antonio","non-dropping-particle":"","parse-names":false,"suffix":""},{"dropping-particle":"","family":"Sulli","given":"Alberto","non-dropping-particle":"","parse-names":false,"suffix":""},{"dropping-particle":"","family":"Triolo","given":"Giovanni","non-dropping-particle":"","parse-names":false,"suffix":""},{"dropping-particle":"","family":"Vacca","given":"Alessandra","non-dropping-particle":"","parse-names":false,"suffix":""},{"dropping-particle":"","family":"Vadacca","given":"Marta","non-dropping-particle":"","parse-names":false,"suffix":""},{"dropping-particle":"","family":"Valentini","given":"Gabriele","non-dropping-particle":"","parse-names":false,"suffix":""},{"dropping-particle":"","family":"Valesini","given":"Guido","non-dropping-particle":"","parse-names":false,"suffix":""},{"dropping-particle":"","family":"Viapiana","given":"Ombretta","non-dropping-particle":"","parse-names":false,"suffix":""},{"dropping-particle":"","family":"Zampogna","given":"Giuseppe","non-dropping-particle":"","parse-names":false,"suffix":""}],"edition":"II edizion","id":"ITEM-1","issued":{"date-parts":[["2014"]]},"number-of-pages":"276-281","publisher":"IDELSON-GNOCCHI","publisher-place":"Napoli","title":"Reumatologia per studenti e medici di medicina generale","type":"book"},"uris":["http://www.mendeley.com/documents/?uuid=42d4c255-300b-4403-a7d2-60c172f24bb2"]}],"mendeley":{"formattedCitation":"&lt;sup&gt;1&lt;/sup&gt;","plainTextFormattedCitation":"1","previouslyFormattedCitation":"&lt;sup&gt;1&lt;/sup&gt;"},"properties":{"noteIndex":0},"schema":"https://github.com/citation-style-language/schema/raw/master/csl-citation.json"}</w:instrText>
      </w:r>
      <w:r w:rsidR="001E3743" w:rsidRPr="002044F0">
        <w:rPr>
          <w:rFonts w:ascii="Times New Roman" w:hAnsi="Times New Roman" w:cs="Times New Roman"/>
          <w:sz w:val="24"/>
          <w:szCs w:val="24"/>
        </w:rPr>
        <w:fldChar w:fldCharType="separate"/>
      </w:r>
      <w:r w:rsidR="001E3743" w:rsidRPr="002044F0">
        <w:rPr>
          <w:rFonts w:ascii="Times New Roman" w:hAnsi="Times New Roman" w:cs="Times New Roman"/>
          <w:noProof/>
          <w:sz w:val="24"/>
          <w:szCs w:val="24"/>
          <w:vertAlign w:val="superscript"/>
        </w:rPr>
        <w:t>1</w:t>
      </w:r>
      <w:r w:rsidR="001E3743" w:rsidRPr="002044F0">
        <w:rPr>
          <w:rFonts w:ascii="Times New Roman" w:hAnsi="Times New Roman" w:cs="Times New Roman"/>
          <w:sz w:val="24"/>
          <w:szCs w:val="24"/>
        </w:rPr>
        <w:fldChar w:fldCharType="end"/>
      </w:r>
      <w:r w:rsidR="001E3743" w:rsidRPr="002044F0">
        <w:rPr>
          <w:rFonts w:ascii="Times New Roman" w:hAnsi="Times New Roman" w:cs="Times New Roman"/>
          <w:sz w:val="24"/>
          <w:szCs w:val="24"/>
        </w:rPr>
        <w:t xml:space="preserve"> </w:t>
      </w:r>
      <w:r w:rsidR="001E3743" w:rsidRPr="002044F0">
        <w:rPr>
          <w:rFonts w:ascii="Times New Roman" w:hAnsi="Times New Roman" w:cs="Times New Roman"/>
          <w:sz w:val="24"/>
          <w:szCs w:val="24"/>
        </w:rPr>
        <w:fldChar w:fldCharType="begin" w:fldLock="1"/>
      </w:r>
      <w:r w:rsidR="001E3743" w:rsidRPr="002044F0">
        <w:rPr>
          <w:rFonts w:ascii="Times New Roman" w:hAnsi="Times New Roman" w:cs="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1E3743" w:rsidRPr="002044F0">
        <w:rPr>
          <w:rFonts w:ascii="Times New Roman" w:hAnsi="Times New Roman" w:cs="Times New Roman"/>
          <w:sz w:val="24"/>
          <w:szCs w:val="24"/>
        </w:rPr>
        <w:fldChar w:fldCharType="separate"/>
      </w:r>
      <w:r w:rsidR="001E3743" w:rsidRPr="002044F0">
        <w:rPr>
          <w:rFonts w:ascii="Times New Roman" w:hAnsi="Times New Roman" w:cs="Times New Roman"/>
          <w:noProof/>
          <w:sz w:val="24"/>
          <w:szCs w:val="24"/>
          <w:vertAlign w:val="superscript"/>
        </w:rPr>
        <w:t>16</w:t>
      </w:r>
      <w:r w:rsidR="001E3743" w:rsidRPr="002044F0">
        <w:rPr>
          <w:rFonts w:ascii="Times New Roman" w:hAnsi="Times New Roman" w:cs="Times New Roman"/>
          <w:sz w:val="24"/>
          <w:szCs w:val="24"/>
        </w:rPr>
        <w:fldChar w:fldCharType="end"/>
      </w:r>
      <w:r w:rsidRPr="002044F0">
        <w:rPr>
          <w:rFonts w:ascii="Times New Roman" w:hAnsi="Times New Roman" w:cs="Times New Roman"/>
          <w:sz w:val="24"/>
          <w:szCs w:val="24"/>
        </w:rPr>
        <w:t>.</w:t>
      </w:r>
    </w:p>
    <w:p w14:paraId="66591D2A" w14:textId="77777777" w:rsidR="001A08BD" w:rsidRPr="002044F0" w:rsidRDefault="001A08BD" w:rsidP="005E6E8B">
      <w:pPr>
        <w:spacing w:line="480" w:lineRule="auto"/>
        <w:rPr>
          <w:rFonts w:ascii="Times New Roman" w:hAnsi="Times New Roman" w:cs="Times New Roman"/>
          <w:sz w:val="24"/>
          <w:szCs w:val="24"/>
        </w:rPr>
      </w:pPr>
      <w:r w:rsidRPr="002044F0">
        <w:rPr>
          <w:rFonts w:ascii="Times New Roman" w:hAnsi="Times New Roman" w:cs="Times New Roman"/>
          <w:sz w:val="24"/>
          <w:szCs w:val="24"/>
        </w:rPr>
        <w:t>Durante i controlli, bisogna monitorare:</w:t>
      </w:r>
    </w:p>
    <w:p w14:paraId="03C0C794" w14:textId="77777777" w:rsidR="001A08BD" w:rsidRPr="002044F0" w:rsidRDefault="001A08BD" w:rsidP="005E6E8B">
      <w:pPr>
        <w:pStyle w:val="Paragrafoelenco"/>
        <w:numPr>
          <w:ilvl w:val="0"/>
          <w:numId w:val="24"/>
        </w:numPr>
        <w:spacing w:after="160" w:line="480" w:lineRule="auto"/>
        <w:ind w:left="360"/>
        <w:rPr>
          <w:rFonts w:ascii="Times New Roman" w:hAnsi="Times New Roman"/>
          <w:sz w:val="24"/>
          <w:szCs w:val="24"/>
        </w:rPr>
      </w:pPr>
      <w:r w:rsidRPr="002044F0">
        <w:rPr>
          <w:rFonts w:ascii="Times New Roman" w:hAnsi="Times New Roman"/>
          <w:sz w:val="24"/>
          <w:szCs w:val="24"/>
        </w:rPr>
        <w:t xml:space="preserve">Segni di ricaduta: </w:t>
      </w:r>
    </w:p>
    <w:p w14:paraId="15B51AC9" w14:textId="77777777" w:rsidR="001A08BD" w:rsidRPr="002044F0" w:rsidRDefault="001A08BD" w:rsidP="005E6E8B">
      <w:pPr>
        <w:pStyle w:val="Paragrafoelenco"/>
        <w:numPr>
          <w:ilvl w:val="0"/>
          <w:numId w:val="27"/>
        </w:numPr>
        <w:spacing w:after="160" w:line="480" w:lineRule="auto"/>
        <w:ind w:left="1080"/>
        <w:rPr>
          <w:rFonts w:ascii="Times New Roman" w:hAnsi="Times New Roman"/>
          <w:sz w:val="24"/>
          <w:szCs w:val="24"/>
        </w:rPr>
      </w:pPr>
      <w:r w:rsidRPr="002044F0">
        <w:rPr>
          <w:rFonts w:ascii="Times New Roman" w:hAnsi="Times New Roman"/>
          <w:sz w:val="24"/>
          <w:szCs w:val="24"/>
        </w:rPr>
        <w:t>Febbre &gt; 1 settimana o &gt;38°C</w:t>
      </w:r>
    </w:p>
    <w:p w14:paraId="5FD15654" w14:textId="77777777" w:rsidR="001A08BD" w:rsidRPr="002044F0" w:rsidRDefault="001A08BD" w:rsidP="005E6E8B">
      <w:pPr>
        <w:pStyle w:val="Paragrafoelenco"/>
        <w:numPr>
          <w:ilvl w:val="0"/>
          <w:numId w:val="27"/>
        </w:numPr>
        <w:spacing w:after="160" w:line="480" w:lineRule="auto"/>
        <w:ind w:left="1080"/>
        <w:rPr>
          <w:rFonts w:ascii="Times New Roman" w:hAnsi="Times New Roman"/>
          <w:sz w:val="24"/>
          <w:szCs w:val="24"/>
        </w:rPr>
      </w:pPr>
      <w:r w:rsidRPr="002044F0">
        <w:rPr>
          <w:rFonts w:ascii="Times New Roman" w:hAnsi="Times New Roman"/>
          <w:sz w:val="24"/>
          <w:szCs w:val="24"/>
        </w:rPr>
        <w:t xml:space="preserve">Nuovi o ricorrenti: cefalea, dolore del cuoio capelluto, sintomi </w:t>
      </w:r>
      <w:r w:rsidR="00AE70FA" w:rsidRPr="002044F0">
        <w:rPr>
          <w:rFonts w:ascii="Times New Roman" w:hAnsi="Times New Roman"/>
          <w:sz w:val="24"/>
          <w:szCs w:val="24"/>
        </w:rPr>
        <w:t>visivi</w:t>
      </w:r>
      <w:r w:rsidRPr="002044F0">
        <w:rPr>
          <w:rFonts w:ascii="Times New Roman" w:hAnsi="Times New Roman"/>
          <w:sz w:val="24"/>
          <w:szCs w:val="24"/>
        </w:rPr>
        <w:t>, dolore alla lingua o mandibola, astenia ingravescente</w:t>
      </w:r>
    </w:p>
    <w:p w14:paraId="7CE9AF07" w14:textId="77777777" w:rsidR="001A08BD" w:rsidRPr="002044F0" w:rsidRDefault="001A08BD" w:rsidP="005E6E8B">
      <w:pPr>
        <w:pStyle w:val="Paragrafoelenco"/>
        <w:numPr>
          <w:ilvl w:val="0"/>
          <w:numId w:val="27"/>
        </w:numPr>
        <w:spacing w:after="160" w:line="480" w:lineRule="auto"/>
        <w:ind w:left="1080"/>
        <w:rPr>
          <w:rFonts w:ascii="Times New Roman" w:hAnsi="Times New Roman"/>
          <w:sz w:val="24"/>
          <w:szCs w:val="24"/>
        </w:rPr>
      </w:pPr>
      <w:r w:rsidRPr="002044F0">
        <w:rPr>
          <w:rFonts w:ascii="Times New Roman" w:hAnsi="Times New Roman"/>
          <w:sz w:val="24"/>
          <w:szCs w:val="24"/>
        </w:rPr>
        <w:t xml:space="preserve">Nuovo o ricorrente interessamento dei grandi vasi: claudicatio alle estremità, soffio addominale, </w:t>
      </w:r>
      <w:r w:rsidR="00AE70FA" w:rsidRPr="002044F0">
        <w:rPr>
          <w:rFonts w:ascii="Times New Roman" w:hAnsi="Times New Roman"/>
          <w:sz w:val="24"/>
          <w:szCs w:val="24"/>
        </w:rPr>
        <w:t>alterazioni asimmetriche della</w:t>
      </w:r>
      <w:r w:rsidRPr="002044F0">
        <w:rPr>
          <w:rFonts w:ascii="Times New Roman" w:hAnsi="Times New Roman"/>
          <w:sz w:val="24"/>
          <w:szCs w:val="24"/>
        </w:rPr>
        <w:t xml:space="preserve"> pressione sanguigna e </w:t>
      </w:r>
      <w:r w:rsidR="00AE70FA" w:rsidRPr="002044F0">
        <w:rPr>
          <w:rFonts w:ascii="Times New Roman" w:hAnsi="Times New Roman"/>
          <w:sz w:val="24"/>
          <w:szCs w:val="24"/>
        </w:rPr>
        <w:t xml:space="preserve">della </w:t>
      </w:r>
      <w:r w:rsidRPr="002044F0">
        <w:rPr>
          <w:rFonts w:ascii="Times New Roman" w:hAnsi="Times New Roman"/>
          <w:sz w:val="24"/>
          <w:szCs w:val="24"/>
        </w:rPr>
        <w:t>pulsatilità a</w:t>
      </w:r>
      <w:r w:rsidR="00AE70FA" w:rsidRPr="002044F0">
        <w:rPr>
          <w:rFonts w:ascii="Times New Roman" w:hAnsi="Times New Roman"/>
          <w:sz w:val="24"/>
          <w:szCs w:val="24"/>
        </w:rPr>
        <w:t>rteriosa a</w:t>
      </w:r>
      <w:r w:rsidRPr="002044F0">
        <w:rPr>
          <w:rFonts w:ascii="Times New Roman" w:hAnsi="Times New Roman"/>
          <w:sz w:val="24"/>
          <w:szCs w:val="24"/>
        </w:rPr>
        <w:t>gli arti</w:t>
      </w:r>
    </w:p>
    <w:p w14:paraId="2BEC8991" w14:textId="77777777" w:rsidR="001A08BD" w:rsidRPr="002044F0" w:rsidRDefault="001A08BD" w:rsidP="004258B6">
      <w:pPr>
        <w:pStyle w:val="Paragrafoelenco"/>
        <w:numPr>
          <w:ilvl w:val="0"/>
          <w:numId w:val="27"/>
        </w:numPr>
        <w:spacing w:after="160" w:line="480" w:lineRule="auto"/>
        <w:rPr>
          <w:rFonts w:ascii="Times New Roman" w:hAnsi="Times New Roman"/>
          <w:sz w:val="24"/>
          <w:szCs w:val="24"/>
        </w:rPr>
      </w:pPr>
      <w:r w:rsidRPr="002044F0">
        <w:rPr>
          <w:rFonts w:ascii="Times New Roman" w:hAnsi="Times New Roman"/>
          <w:sz w:val="24"/>
          <w:szCs w:val="24"/>
        </w:rPr>
        <w:t>Nuovi o ricorrenti segni di stroke, non altrimenti spiegati</w:t>
      </w:r>
    </w:p>
    <w:p w14:paraId="2C665A6A" w14:textId="77777777" w:rsidR="001A08BD" w:rsidRPr="002044F0" w:rsidRDefault="001A08BD" w:rsidP="004258B6">
      <w:pPr>
        <w:pStyle w:val="Paragrafoelenco"/>
        <w:numPr>
          <w:ilvl w:val="0"/>
          <w:numId w:val="27"/>
        </w:numPr>
        <w:spacing w:after="160" w:line="480" w:lineRule="auto"/>
        <w:rPr>
          <w:rFonts w:ascii="Times New Roman" w:hAnsi="Times New Roman"/>
          <w:sz w:val="24"/>
          <w:szCs w:val="24"/>
        </w:rPr>
      </w:pPr>
      <w:r w:rsidRPr="002044F0">
        <w:rPr>
          <w:rFonts w:ascii="Times New Roman" w:hAnsi="Times New Roman"/>
          <w:sz w:val="24"/>
          <w:szCs w:val="24"/>
        </w:rPr>
        <w:t>Sintomi di PMR</w:t>
      </w:r>
    </w:p>
    <w:p w14:paraId="6DA76D12" w14:textId="77777777" w:rsidR="001A08BD" w:rsidRPr="002044F0" w:rsidRDefault="001A08BD" w:rsidP="004258B6">
      <w:pPr>
        <w:pStyle w:val="Paragrafoelenco"/>
        <w:numPr>
          <w:ilvl w:val="0"/>
          <w:numId w:val="24"/>
        </w:numPr>
        <w:spacing w:after="160" w:line="480" w:lineRule="auto"/>
        <w:rPr>
          <w:rFonts w:ascii="Times New Roman" w:hAnsi="Times New Roman"/>
          <w:sz w:val="24"/>
          <w:szCs w:val="24"/>
        </w:rPr>
      </w:pPr>
      <w:r w:rsidRPr="002044F0">
        <w:rPr>
          <w:rFonts w:ascii="Times New Roman" w:hAnsi="Times New Roman"/>
          <w:sz w:val="24"/>
          <w:szCs w:val="24"/>
        </w:rPr>
        <w:t>Segni di eventi avversi GC-correlati: osteoporosi e rischio fratture, aumento di peso, ipertensione, iperglicemia, cataratta, glaucoma, dislipidemia</w:t>
      </w:r>
    </w:p>
    <w:p w14:paraId="4B104034" w14:textId="77777777" w:rsidR="001A08BD" w:rsidRPr="002044F0" w:rsidRDefault="001A08BD" w:rsidP="004258B6">
      <w:pPr>
        <w:pStyle w:val="Paragrafoelenco"/>
        <w:numPr>
          <w:ilvl w:val="0"/>
          <w:numId w:val="24"/>
        </w:numPr>
        <w:spacing w:after="160" w:line="480" w:lineRule="auto"/>
        <w:rPr>
          <w:rFonts w:ascii="Times New Roman" w:hAnsi="Times New Roman"/>
          <w:sz w:val="24"/>
          <w:szCs w:val="24"/>
        </w:rPr>
      </w:pPr>
      <w:r w:rsidRPr="002044F0">
        <w:rPr>
          <w:rFonts w:ascii="Times New Roman" w:hAnsi="Times New Roman"/>
          <w:sz w:val="24"/>
          <w:szCs w:val="24"/>
        </w:rPr>
        <w:t>Segni atipici che possono suggerire una differente diagnosi</w:t>
      </w:r>
      <w:r w:rsidR="001E3743" w:rsidRPr="002044F0">
        <w:rPr>
          <w:rFonts w:ascii="Times New Roman" w:hAnsi="Times New Roman"/>
          <w:sz w:val="24"/>
          <w:szCs w:val="24"/>
        </w:rPr>
        <w:fldChar w:fldCharType="begin" w:fldLock="1"/>
      </w:r>
      <w:r w:rsidR="001E3743" w:rsidRPr="002044F0">
        <w:rPr>
          <w:rFonts w:ascii="Times New Roman" w:hAnsi="Times New Roman"/>
          <w:sz w:val="24"/>
          <w:szCs w:val="24"/>
        </w:rPr>
        <w:instrText>ADDIN CSL_CITATION {"citationItems":[{"id":"ITEM-1","itemData":{"DOI":"10.1016/S0002-838X(13)60331-7","ISBN":"0002-838X","ISSN":"0002838X","PMID":"24364483","abstract":"Polymyalgia rheumatica affects proximal muscles and joints, causing disability in older adults. Giant cell arteritis affects medium and large arteries and can result in blindness. These conditions overlap significantly, often occurring together. Despite the similarities, each has distinct symptoms, corticosteroid dosing requirements, and prognosis. The hallmark of both conditions is inflammation. Polymyalgia rheumatica primarily affects the shoulders, neck, and hips with prominent bilateral pain. Systemic findings such as fatigue and weight loss are common, and there is no definitive diagnostic test. Moderate-dose corticosteroid therapy with a slow taper rapidly resolves symptoms. Management of patients responding to treatment can occur in the primary care setting, if there is no concomitant giant cell arteritis. The clinical presentation of giant cell arteritis varies widely, from new-onset headache and constitutional symptoms, to jaw claudication, to less common isolated visual changes and upper extremity claudication. Treatment requires higher dosages of corticosteroids and urgent referral to a rheumatologist. Relapse is common in both diseases. Surveillance is important, as is monitoring for long-term complications of corticosteroid use. Osteoporosis management and gastrointestinal ulcer prophylaxis should be initiated. The primary care physician's coordination of care with a rheumatologist and with other subspecialists, if needed, is essential in the management of giant cell arteritis. © 2013 American Academy of Family Physicians.","author":[{"dropping-particle":"","family":"T.L.","given":"Caylor","non-dropping-particle":"","parse-names":false,"suffix":""},{"dropping-particle":"","family":"A.","given":"Perkins","non-dropping-particle":"","parse-names":false,"suffix":""}],"container-title":"American Family Physician","id":"ITEM-1","issue":"10","issued":{"date-parts":[["2013"]]},"page":"676-684","title":"Recognition and management of polymyalgia rheumatica and giant cell arteritis","type":"article-journal","volume":"88"},"uris":["http://www.mendeley.com/documents/?uuid=0effba6d-35d7-49de-a20b-aae26188636a"]}],"mendeley":{"formattedCitation":"&lt;sup&gt;16&lt;/sup&gt;","plainTextFormattedCitation":"16","previouslyFormattedCitation":"&lt;sup&gt;16&lt;/sup&gt;"},"properties":{"noteIndex":0},"schema":"https://github.com/citation-style-language/schema/raw/master/csl-citation.json"}</w:instrText>
      </w:r>
      <w:r w:rsidR="001E3743" w:rsidRPr="002044F0">
        <w:rPr>
          <w:rFonts w:ascii="Times New Roman" w:hAnsi="Times New Roman"/>
          <w:sz w:val="24"/>
          <w:szCs w:val="24"/>
        </w:rPr>
        <w:fldChar w:fldCharType="separate"/>
      </w:r>
      <w:r w:rsidR="001E3743" w:rsidRPr="002044F0">
        <w:rPr>
          <w:rFonts w:ascii="Times New Roman" w:hAnsi="Times New Roman"/>
          <w:noProof/>
          <w:sz w:val="24"/>
          <w:szCs w:val="24"/>
          <w:vertAlign w:val="superscript"/>
        </w:rPr>
        <w:t>16</w:t>
      </w:r>
      <w:r w:rsidR="001E3743" w:rsidRPr="002044F0">
        <w:rPr>
          <w:rFonts w:ascii="Times New Roman" w:hAnsi="Times New Roman"/>
          <w:sz w:val="24"/>
          <w:szCs w:val="24"/>
        </w:rPr>
        <w:fldChar w:fldCharType="end"/>
      </w:r>
    </w:p>
    <w:p w14:paraId="497BDDB0" w14:textId="77777777" w:rsidR="001A08BD" w:rsidRPr="002044F0" w:rsidRDefault="001A08BD" w:rsidP="004258B6">
      <w:pPr>
        <w:pStyle w:val="Paragrafoelenco"/>
        <w:spacing w:line="480" w:lineRule="auto"/>
        <w:ind w:left="360"/>
        <w:rPr>
          <w:rFonts w:ascii="Times New Roman" w:hAnsi="Times New Roman"/>
          <w:sz w:val="24"/>
          <w:szCs w:val="24"/>
        </w:rPr>
      </w:pPr>
    </w:p>
    <w:p w14:paraId="2FF477C3" w14:textId="77777777" w:rsidR="001A08BD" w:rsidRPr="002044F0" w:rsidRDefault="001A08BD" w:rsidP="004258B6">
      <w:pPr>
        <w:pStyle w:val="Paragrafoelenco"/>
        <w:spacing w:line="480" w:lineRule="auto"/>
        <w:ind w:left="360"/>
        <w:rPr>
          <w:rFonts w:ascii="Times New Roman" w:hAnsi="Times New Roman"/>
          <w:sz w:val="24"/>
          <w:szCs w:val="24"/>
        </w:rPr>
      </w:pPr>
      <w:r w:rsidRPr="002044F0">
        <w:rPr>
          <w:rFonts w:ascii="Times New Roman" w:hAnsi="Times New Roman"/>
          <w:sz w:val="24"/>
          <w:szCs w:val="24"/>
        </w:rPr>
        <w:t xml:space="preserve">In corso di trattamento con tocilizumab, la PCR non può essere utilizzata per monitorare l’efficacia </w:t>
      </w:r>
      <w:r w:rsidR="00AE70FA" w:rsidRPr="002044F0">
        <w:rPr>
          <w:rFonts w:ascii="Times New Roman" w:hAnsi="Times New Roman"/>
          <w:sz w:val="24"/>
          <w:szCs w:val="24"/>
        </w:rPr>
        <w:t>del trattamento perché viene comunque ridotta la sua produzione epatica</w:t>
      </w:r>
      <w:r w:rsidRPr="002044F0">
        <w:rPr>
          <w:rFonts w:ascii="Times New Roman" w:hAnsi="Times New Roman"/>
          <w:sz w:val="24"/>
          <w:szCs w:val="24"/>
        </w:rPr>
        <w:t xml:space="preserve">. Gli altri test di controllo in corso di terapia con tocilizumab sono gli stessi effettuati nella terapia per AR: emocromo completo ed enzimi epatici ogni mese per i primi sei mesi di terapia e successivamente </w:t>
      </w:r>
      <w:r w:rsidRPr="002044F0">
        <w:rPr>
          <w:rFonts w:ascii="Times New Roman" w:hAnsi="Times New Roman"/>
          <w:sz w:val="24"/>
          <w:szCs w:val="24"/>
        </w:rPr>
        <w:lastRenderedPageBreak/>
        <w:t xml:space="preserve">ricontrollati ogni 3 mesi, profilo lipidico ad inizio terapia e dopo 3 mesi e successivamente controlli periodici stabiliti sulla base delle caratteristiche individuali del paziente </w:t>
      </w:r>
      <w:r w:rsidR="00BE67E5" w:rsidRPr="002044F0">
        <w:rPr>
          <w:rFonts w:ascii="Times New Roman" w:hAnsi="Times New Roman"/>
          <w:sz w:val="24"/>
          <w:szCs w:val="24"/>
        </w:rPr>
        <w:fldChar w:fldCharType="begin" w:fldLock="1"/>
      </w:r>
      <w:r w:rsidR="00F66ECC" w:rsidRPr="002044F0">
        <w:rPr>
          <w:rFonts w:ascii="Times New Roman" w:hAnsi="Times New Roman"/>
          <w:sz w:val="24"/>
          <w:szCs w:val="24"/>
        </w:rPr>
        <w:instrText>ADDIN CSL_CITATION {"citationItems":[{"id":"ITEM-1","itemData":{"DOI":"10.1080/03009742.2019.1571223","ISSN":"0300-9742","author":[{"dropping-particle":"","family":"Turesson","given":"C","non-dropping-particle":"","parse-names":false,"suffix":""},{"dropping-particle":"","family":"Börjesson","given":"O","non-dropping-particle":"","parse-names":false,"suffix":""},{"dropping-particle":"","family":"Larsson","given":"K","non-dropping-particle":"","parse-names":false,"suffix":""},{"dropping-particle":"","family":"Mohammad","given":"AJ","non-dropping-particle":"","parse-names":false,"suffix":""},{"dropping-particle":"","family":"Knight","given":"A","non-dropping-particle":"","parse-names":false,"suffix":""}],"container-title":"Scandinavian Journal of Rheumatology","id":"ITEM-1","issue":"00","issued":{"date-parts":[["2019"]]},"page":"1-7","publisher":"Taylor &amp; Francis","title":"Swedish Society of Rheumatology 2018 guidelines for investigation, treatment, and follow-up of giant cell arteritis","type":"article-journal","volume":"00"},"uris":["http://www.mendeley.com/documents/?uuid=fbe917cc-dd53-44db-8782-4337413bddd5"]}],"mendeley":{"formattedCitation":"&lt;sup&gt;29&lt;/sup&gt;","plainTextFormattedCitation":"29","previouslyFormattedCitation":"&lt;sup&gt;29&lt;/sup&gt;"},"properties":{"noteIndex":0},"schema":"https://github.com/citation-style-language/schema/raw/master/csl-citation.json"}</w:instrText>
      </w:r>
      <w:r w:rsidR="00BE67E5" w:rsidRPr="002044F0">
        <w:rPr>
          <w:rFonts w:ascii="Times New Roman" w:hAnsi="Times New Roman"/>
          <w:sz w:val="24"/>
          <w:szCs w:val="24"/>
        </w:rPr>
        <w:fldChar w:fldCharType="separate"/>
      </w:r>
      <w:r w:rsidR="00C41B3B" w:rsidRPr="002044F0">
        <w:rPr>
          <w:rFonts w:ascii="Times New Roman" w:hAnsi="Times New Roman"/>
          <w:noProof/>
          <w:sz w:val="24"/>
          <w:szCs w:val="24"/>
          <w:vertAlign w:val="superscript"/>
        </w:rPr>
        <w:t>29</w:t>
      </w:r>
      <w:r w:rsidR="00BE67E5" w:rsidRPr="002044F0">
        <w:rPr>
          <w:rFonts w:ascii="Times New Roman" w:hAnsi="Times New Roman"/>
          <w:sz w:val="24"/>
          <w:szCs w:val="24"/>
        </w:rPr>
        <w:fldChar w:fldCharType="end"/>
      </w:r>
      <w:r w:rsidRPr="002044F0">
        <w:rPr>
          <w:rFonts w:ascii="Times New Roman" w:hAnsi="Times New Roman"/>
          <w:sz w:val="24"/>
          <w:szCs w:val="24"/>
        </w:rPr>
        <w:t>.</w:t>
      </w:r>
    </w:p>
    <w:p w14:paraId="50A350FA" w14:textId="77777777" w:rsidR="00DA20CF" w:rsidRDefault="00DA20CF" w:rsidP="009464C3">
      <w:pPr>
        <w:spacing w:line="360" w:lineRule="auto"/>
        <w:rPr>
          <w:rFonts w:ascii="Times New Roman" w:hAnsi="Times New Roman" w:cs="Times New Roman"/>
          <w:b/>
          <w:sz w:val="28"/>
          <w:szCs w:val="28"/>
        </w:rPr>
      </w:pPr>
    </w:p>
    <w:p w14:paraId="24665832" w14:textId="77777777" w:rsidR="00DA20CF" w:rsidRDefault="00DA20CF" w:rsidP="009464C3">
      <w:pPr>
        <w:spacing w:line="360" w:lineRule="auto"/>
        <w:rPr>
          <w:rFonts w:ascii="Times New Roman" w:hAnsi="Times New Roman" w:cs="Times New Roman"/>
          <w:b/>
          <w:sz w:val="28"/>
          <w:szCs w:val="28"/>
        </w:rPr>
      </w:pPr>
    </w:p>
    <w:p w14:paraId="055233AF" w14:textId="77777777" w:rsidR="00AB0645" w:rsidRDefault="00AB0645" w:rsidP="009464C3">
      <w:pPr>
        <w:spacing w:line="360" w:lineRule="auto"/>
        <w:rPr>
          <w:rFonts w:ascii="Times New Roman" w:hAnsi="Times New Roman" w:cs="Times New Roman"/>
          <w:b/>
          <w:sz w:val="28"/>
          <w:szCs w:val="28"/>
        </w:rPr>
      </w:pPr>
    </w:p>
    <w:p w14:paraId="3D9578EC" w14:textId="77777777" w:rsidR="003E0D5F" w:rsidRDefault="003E0D5F" w:rsidP="009464C3">
      <w:pPr>
        <w:spacing w:line="360" w:lineRule="auto"/>
        <w:rPr>
          <w:rFonts w:ascii="Times New Roman" w:hAnsi="Times New Roman" w:cs="Times New Roman"/>
          <w:b/>
          <w:sz w:val="28"/>
          <w:szCs w:val="28"/>
        </w:rPr>
      </w:pPr>
    </w:p>
    <w:p w14:paraId="2A4CBFFD" w14:textId="77777777" w:rsidR="003E0D5F" w:rsidRDefault="003E0D5F" w:rsidP="009464C3">
      <w:pPr>
        <w:spacing w:line="360" w:lineRule="auto"/>
        <w:rPr>
          <w:rFonts w:ascii="Times New Roman" w:hAnsi="Times New Roman" w:cs="Times New Roman"/>
          <w:b/>
          <w:sz w:val="28"/>
          <w:szCs w:val="28"/>
        </w:rPr>
      </w:pPr>
    </w:p>
    <w:p w14:paraId="5D6E26F9" w14:textId="77777777" w:rsidR="003E0D5F" w:rsidRDefault="003E0D5F" w:rsidP="009464C3">
      <w:pPr>
        <w:spacing w:line="360" w:lineRule="auto"/>
        <w:rPr>
          <w:rFonts w:ascii="Times New Roman" w:hAnsi="Times New Roman" w:cs="Times New Roman"/>
          <w:b/>
          <w:sz w:val="28"/>
          <w:szCs w:val="28"/>
        </w:rPr>
      </w:pPr>
    </w:p>
    <w:p w14:paraId="65DA0508" w14:textId="77777777" w:rsidR="003E0D5F" w:rsidRDefault="003E0D5F" w:rsidP="009464C3">
      <w:pPr>
        <w:spacing w:line="360" w:lineRule="auto"/>
        <w:rPr>
          <w:rFonts w:ascii="Times New Roman" w:hAnsi="Times New Roman" w:cs="Times New Roman"/>
          <w:b/>
          <w:sz w:val="28"/>
          <w:szCs w:val="28"/>
        </w:rPr>
      </w:pPr>
    </w:p>
    <w:p w14:paraId="50A4E558" w14:textId="60FF3A0F" w:rsidR="0078118B" w:rsidRPr="00F555AD" w:rsidRDefault="002044F0" w:rsidP="002044F0">
      <w:pPr>
        <w:rPr>
          <w:rFonts w:ascii="Times New Roman" w:hAnsi="Times New Roman" w:cs="Times New Roman"/>
          <w:b/>
          <w:sz w:val="28"/>
          <w:szCs w:val="28"/>
        </w:rPr>
      </w:pPr>
      <w:r>
        <w:rPr>
          <w:rFonts w:ascii="Times New Roman" w:hAnsi="Times New Roman" w:cs="Times New Roman"/>
          <w:b/>
          <w:sz w:val="28"/>
          <w:szCs w:val="28"/>
        </w:rPr>
        <w:br w:type="page"/>
      </w:r>
    </w:p>
    <w:p w14:paraId="31BEEDF6" w14:textId="77777777" w:rsidR="001A08BD" w:rsidRDefault="00ED1E51" w:rsidP="00ED1E51">
      <w:pPr>
        <w:pStyle w:val="Paragrafoelenco"/>
        <w:numPr>
          <w:ilvl w:val="0"/>
          <w:numId w:val="5"/>
        </w:numPr>
        <w:spacing w:after="160" w:line="240" w:lineRule="auto"/>
        <w:outlineLvl w:val="0"/>
        <w:rPr>
          <w:rFonts w:ascii="Times New Roman" w:hAnsi="Times New Roman"/>
          <w:b/>
          <w:sz w:val="28"/>
          <w:szCs w:val="28"/>
        </w:rPr>
      </w:pPr>
      <w:bookmarkStart w:id="10" w:name="_Toc12908074"/>
      <w:r>
        <w:rPr>
          <w:rFonts w:ascii="Times New Roman" w:hAnsi="Times New Roman"/>
          <w:b/>
          <w:sz w:val="28"/>
          <w:szCs w:val="28"/>
        </w:rPr>
        <w:lastRenderedPageBreak/>
        <w:t xml:space="preserve">LO </w:t>
      </w:r>
      <w:r w:rsidR="00994B5F">
        <w:rPr>
          <w:rFonts w:ascii="Times New Roman" w:hAnsi="Times New Roman"/>
          <w:b/>
          <w:sz w:val="28"/>
          <w:szCs w:val="28"/>
        </w:rPr>
        <w:t>STUDIO</w:t>
      </w:r>
      <w:bookmarkEnd w:id="10"/>
    </w:p>
    <w:p w14:paraId="04BBB7A2" w14:textId="77777777" w:rsidR="005A6840" w:rsidRPr="005A6840" w:rsidRDefault="005A6840" w:rsidP="005A6840">
      <w:pPr>
        <w:pStyle w:val="Paragrafoelenco"/>
        <w:spacing w:after="160" w:line="240" w:lineRule="auto"/>
        <w:outlineLvl w:val="0"/>
        <w:rPr>
          <w:rFonts w:ascii="Times New Roman" w:hAnsi="Times New Roman"/>
          <w:b/>
          <w:sz w:val="28"/>
          <w:szCs w:val="28"/>
        </w:rPr>
      </w:pPr>
    </w:p>
    <w:p w14:paraId="30807D59" w14:textId="3A632A2A" w:rsidR="00994B5F" w:rsidRPr="008144BD" w:rsidRDefault="002044F0" w:rsidP="00ED1E51">
      <w:pPr>
        <w:pStyle w:val="Paragrafoelenco"/>
        <w:numPr>
          <w:ilvl w:val="1"/>
          <w:numId w:val="49"/>
        </w:numPr>
        <w:spacing w:after="160" w:line="480" w:lineRule="auto"/>
        <w:outlineLvl w:val="1"/>
        <w:rPr>
          <w:rFonts w:ascii="Times New Roman" w:hAnsi="Times New Roman"/>
          <w:b/>
          <w:sz w:val="28"/>
          <w:szCs w:val="28"/>
        </w:rPr>
      </w:pPr>
      <w:bookmarkStart w:id="11" w:name="_Toc12908075"/>
      <w:r>
        <w:rPr>
          <w:rFonts w:ascii="Times New Roman" w:hAnsi="Times New Roman"/>
          <w:b/>
          <w:sz w:val="28"/>
          <w:szCs w:val="28"/>
        </w:rPr>
        <w:t xml:space="preserve"> </w:t>
      </w:r>
      <w:r w:rsidR="008144BD" w:rsidRPr="008144BD">
        <w:rPr>
          <w:rFonts w:ascii="Times New Roman" w:hAnsi="Times New Roman"/>
          <w:b/>
          <w:sz w:val="28"/>
          <w:szCs w:val="28"/>
        </w:rPr>
        <w:t>Materiali e metodi</w:t>
      </w:r>
      <w:bookmarkEnd w:id="11"/>
    </w:p>
    <w:p w14:paraId="4C557B59" w14:textId="77777777" w:rsidR="00994B5F" w:rsidRPr="00994B5F" w:rsidRDefault="00994B5F" w:rsidP="00ED1E51">
      <w:pPr>
        <w:pStyle w:val="Paragrafoelenco"/>
        <w:spacing w:after="160" w:line="480" w:lineRule="auto"/>
        <w:ind w:left="360"/>
        <w:outlineLvl w:val="2"/>
        <w:rPr>
          <w:rFonts w:ascii="Times New Roman" w:hAnsi="Times New Roman"/>
          <w:b/>
        </w:rPr>
      </w:pPr>
      <w:bookmarkStart w:id="12" w:name="_Toc12908076"/>
      <w:r w:rsidRPr="00297A57">
        <w:rPr>
          <w:rFonts w:ascii="Times New Roman" w:hAnsi="Times New Roman"/>
          <w:b/>
          <w:sz w:val="28"/>
          <w:szCs w:val="28"/>
        </w:rPr>
        <w:t>3.1.1</w:t>
      </w:r>
      <w:r>
        <w:rPr>
          <w:rFonts w:ascii="Times New Roman" w:hAnsi="Times New Roman"/>
          <w:b/>
        </w:rPr>
        <w:t xml:space="preserve"> </w:t>
      </w:r>
      <w:r w:rsidRPr="008144BD">
        <w:rPr>
          <w:rFonts w:ascii="Times New Roman" w:hAnsi="Times New Roman"/>
          <w:b/>
          <w:sz w:val="28"/>
          <w:szCs w:val="28"/>
        </w:rPr>
        <w:t>MMG</w:t>
      </w:r>
      <w:bookmarkEnd w:id="12"/>
    </w:p>
    <w:p w14:paraId="0669F222" w14:textId="119FFFE2" w:rsidR="001A08BD" w:rsidRPr="00676023" w:rsidRDefault="001A08BD" w:rsidP="004258B6">
      <w:pPr>
        <w:spacing w:line="480" w:lineRule="auto"/>
        <w:rPr>
          <w:rFonts w:ascii="Times New Roman" w:hAnsi="Times New Roman" w:cs="Times New Roman"/>
          <w:sz w:val="24"/>
          <w:szCs w:val="24"/>
        </w:rPr>
      </w:pPr>
      <w:r w:rsidRPr="00676023">
        <w:rPr>
          <w:rFonts w:ascii="Times New Roman" w:hAnsi="Times New Roman" w:cs="Times New Roman"/>
          <w:sz w:val="24"/>
          <w:szCs w:val="24"/>
        </w:rPr>
        <w:t xml:space="preserve">Per la nostra indagine abbiamo </w:t>
      </w:r>
      <w:r w:rsidR="00AE70FA" w:rsidRPr="00676023">
        <w:rPr>
          <w:rFonts w:ascii="Times New Roman" w:hAnsi="Times New Roman" w:cs="Times New Roman"/>
          <w:sz w:val="24"/>
          <w:szCs w:val="24"/>
        </w:rPr>
        <w:t>valutato le risposte ad un questionario</w:t>
      </w:r>
      <w:r w:rsidRPr="00676023">
        <w:rPr>
          <w:rFonts w:ascii="Times New Roman" w:hAnsi="Times New Roman" w:cs="Times New Roman"/>
          <w:sz w:val="24"/>
          <w:szCs w:val="24"/>
        </w:rPr>
        <w:t xml:space="preserve"> di un gruppo di </w:t>
      </w:r>
      <w:r w:rsidR="00874B30" w:rsidRPr="00676023">
        <w:rPr>
          <w:rFonts w:ascii="Times New Roman" w:hAnsi="Times New Roman" w:cs="Times New Roman"/>
          <w:sz w:val="24"/>
          <w:szCs w:val="24"/>
        </w:rPr>
        <w:t xml:space="preserve">775 </w:t>
      </w:r>
      <w:r w:rsidRPr="00676023">
        <w:rPr>
          <w:rFonts w:ascii="Times New Roman" w:hAnsi="Times New Roman" w:cs="Times New Roman"/>
          <w:sz w:val="24"/>
          <w:szCs w:val="24"/>
        </w:rPr>
        <w:t xml:space="preserve">MMG </w:t>
      </w:r>
      <w:r w:rsidR="00FA4826">
        <w:rPr>
          <w:rFonts w:ascii="Times New Roman" w:hAnsi="Times New Roman" w:cs="Times New Roman"/>
          <w:sz w:val="24"/>
          <w:szCs w:val="24"/>
        </w:rPr>
        <w:t>liguri</w:t>
      </w:r>
      <w:r w:rsidRPr="00676023">
        <w:rPr>
          <w:rFonts w:ascii="Times New Roman" w:hAnsi="Times New Roman" w:cs="Times New Roman"/>
          <w:sz w:val="24"/>
          <w:szCs w:val="24"/>
        </w:rPr>
        <w:t>.</w:t>
      </w:r>
    </w:p>
    <w:p w14:paraId="297AABF0" w14:textId="77777777" w:rsidR="001A08BD" w:rsidRPr="00676023" w:rsidRDefault="001A08BD" w:rsidP="004258B6">
      <w:pPr>
        <w:spacing w:line="480" w:lineRule="auto"/>
        <w:rPr>
          <w:rFonts w:ascii="Times New Roman" w:hAnsi="Times New Roman" w:cs="Times New Roman"/>
          <w:sz w:val="24"/>
          <w:szCs w:val="24"/>
        </w:rPr>
      </w:pPr>
      <w:r w:rsidRPr="00676023">
        <w:rPr>
          <w:rFonts w:ascii="Times New Roman" w:hAnsi="Times New Roman" w:cs="Times New Roman"/>
          <w:sz w:val="24"/>
          <w:szCs w:val="24"/>
        </w:rPr>
        <w:t xml:space="preserve">La decisione è stata presa tenendo in considerazione l’importanza della figura del </w:t>
      </w:r>
      <w:r w:rsidR="00EE0AC5" w:rsidRPr="00676023">
        <w:rPr>
          <w:rFonts w:ascii="Times New Roman" w:hAnsi="Times New Roman" w:cs="Times New Roman"/>
          <w:sz w:val="24"/>
          <w:szCs w:val="24"/>
        </w:rPr>
        <w:t xml:space="preserve">MMG </w:t>
      </w:r>
      <w:r w:rsidRPr="00676023">
        <w:rPr>
          <w:rFonts w:ascii="Times New Roman" w:hAnsi="Times New Roman" w:cs="Times New Roman"/>
          <w:sz w:val="24"/>
          <w:szCs w:val="24"/>
        </w:rPr>
        <w:t>nel panorama della sanità italiana e nella diagnosi precoce della AGC. Esso infatti è la prima figura cui la popolazione si rivolge quando insorgono disturbi della salute e per questo ha una visione completa delle patologie dell’età adulta. Il nostro obiettivo infatti era conoscere quanto fosse frequente il riscontro della AGC nell’ambito della popolazione generale</w:t>
      </w:r>
      <w:r w:rsidR="0079221E" w:rsidRPr="00676023">
        <w:rPr>
          <w:rFonts w:ascii="Times New Roman" w:hAnsi="Times New Roman" w:cs="Times New Roman"/>
          <w:sz w:val="24"/>
          <w:szCs w:val="24"/>
        </w:rPr>
        <w:t xml:space="preserve"> degli assistiti</w:t>
      </w:r>
      <w:r w:rsidRPr="00676023">
        <w:rPr>
          <w:rFonts w:ascii="Times New Roman" w:hAnsi="Times New Roman" w:cs="Times New Roman"/>
          <w:sz w:val="24"/>
          <w:szCs w:val="24"/>
        </w:rPr>
        <w:t>, al di fuori quindi dell’ambito specialistico. Inoltre, ci siamo prefissi di indagare l’atteggiamento del MMG nella diagnosi e terapia della AGC anche al fine di capire se vi fossero delle criticità migliorabili con interventi di sensibilizzazione.</w:t>
      </w:r>
    </w:p>
    <w:p w14:paraId="6222E8C2" w14:textId="77777777" w:rsidR="001A08BD" w:rsidRPr="00676023" w:rsidRDefault="001A08BD" w:rsidP="004258B6">
      <w:pPr>
        <w:pStyle w:val="Paragrafoelenco"/>
        <w:spacing w:line="480" w:lineRule="auto"/>
        <w:ind w:left="0"/>
        <w:rPr>
          <w:rFonts w:ascii="Times New Roman" w:hAnsi="Times New Roman"/>
          <w:sz w:val="24"/>
          <w:szCs w:val="24"/>
        </w:rPr>
      </w:pPr>
      <w:r w:rsidRPr="00676023">
        <w:rPr>
          <w:rFonts w:ascii="Times New Roman" w:hAnsi="Times New Roman"/>
          <w:sz w:val="24"/>
          <w:szCs w:val="24"/>
        </w:rPr>
        <w:t xml:space="preserve">La percentuale di risposte dei MMG, pur non essendo sufficiente in termini quantitativi per essere rappresentativa della popolazione generale di MMG (per la quale sono necessari tassi di risposta superiori al 60% della popolazione presa in considerazione), ci ha comunque permesso di </w:t>
      </w:r>
      <w:r w:rsidR="0079221E" w:rsidRPr="00676023">
        <w:rPr>
          <w:rFonts w:ascii="Times New Roman" w:hAnsi="Times New Roman"/>
          <w:sz w:val="24"/>
          <w:szCs w:val="24"/>
        </w:rPr>
        <w:t xml:space="preserve">ragionare </w:t>
      </w:r>
      <w:r w:rsidRPr="00676023">
        <w:rPr>
          <w:rFonts w:ascii="Times New Roman" w:hAnsi="Times New Roman"/>
          <w:sz w:val="24"/>
          <w:szCs w:val="24"/>
        </w:rPr>
        <w:t xml:space="preserve">su questo argomento e di proporre un approfondimento della tematica per </w:t>
      </w:r>
      <w:r w:rsidR="0079221E" w:rsidRPr="00676023">
        <w:rPr>
          <w:rFonts w:ascii="Times New Roman" w:hAnsi="Times New Roman"/>
          <w:sz w:val="24"/>
          <w:szCs w:val="24"/>
        </w:rPr>
        <w:t xml:space="preserve">migliorare </w:t>
      </w:r>
      <w:r w:rsidRPr="00676023">
        <w:rPr>
          <w:rFonts w:ascii="Times New Roman" w:hAnsi="Times New Roman"/>
          <w:sz w:val="24"/>
          <w:szCs w:val="24"/>
        </w:rPr>
        <w:t>la diagnos</w:t>
      </w:r>
      <w:r w:rsidR="0079221E" w:rsidRPr="00676023">
        <w:rPr>
          <w:rFonts w:ascii="Times New Roman" w:hAnsi="Times New Roman"/>
          <w:sz w:val="24"/>
          <w:szCs w:val="24"/>
        </w:rPr>
        <w:t>i</w:t>
      </w:r>
      <w:r w:rsidRPr="00676023">
        <w:rPr>
          <w:rFonts w:ascii="Times New Roman" w:hAnsi="Times New Roman"/>
          <w:sz w:val="24"/>
          <w:szCs w:val="24"/>
        </w:rPr>
        <w:t xml:space="preserve"> e</w:t>
      </w:r>
      <w:r w:rsidR="0079221E" w:rsidRPr="00676023">
        <w:rPr>
          <w:rFonts w:ascii="Times New Roman" w:hAnsi="Times New Roman"/>
          <w:sz w:val="24"/>
          <w:szCs w:val="24"/>
        </w:rPr>
        <w:t>d il trattamento dell’AGC</w:t>
      </w:r>
      <w:r w:rsidRPr="00676023">
        <w:rPr>
          <w:rFonts w:ascii="Times New Roman" w:hAnsi="Times New Roman"/>
          <w:sz w:val="24"/>
          <w:szCs w:val="24"/>
        </w:rPr>
        <w:t>.</w:t>
      </w:r>
    </w:p>
    <w:p w14:paraId="70483AC2" w14:textId="77777777" w:rsidR="0079221E" w:rsidRDefault="0079221E" w:rsidP="004258B6">
      <w:pPr>
        <w:pStyle w:val="Paragrafoelenco"/>
        <w:spacing w:line="480" w:lineRule="auto"/>
        <w:ind w:left="0"/>
        <w:rPr>
          <w:rFonts w:ascii="Times New Roman" w:eastAsiaTheme="minorHAnsi" w:hAnsi="Times New Roman"/>
          <w:b/>
          <w:sz w:val="24"/>
          <w:szCs w:val="24"/>
        </w:rPr>
      </w:pPr>
    </w:p>
    <w:p w14:paraId="1E030DFA" w14:textId="77777777" w:rsidR="005F27B7" w:rsidRPr="005F27B7" w:rsidRDefault="005F27B7" w:rsidP="004258B6">
      <w:pPr>
        <w:pStyle w:val="Paragrafoelenco"/>
        <w:spacing w:line="480" w:lineRule="auto"/>
        <w:ind w:left="0"/>
        <w:rPr>
          <w:rFonts w:ascii="Times New Roman" w:hAnsi="Times New Roman"/>
          <w:sz w:val="24"/>
          <w:szCs w:val="24"/>
        </w:rPr>
      </w:pPr>
    </w:p>
    <w:p w14:paraId="763C0011" w14:textId="77777777" w:rsidR="001A08BD" w:rsidRPr="00994B5F" w:rsidRDefault="00994B5F" w:rsidP="00ED1E51">
      <w:pPr>
        <w:pStyle w:val="Paragrafoelenco"/>
        <w:numPr>
          <w:ilvl w:val="2"/>
          <w:numId w:val="50"/>
        </w:numPr>
        <w:spacing w:after="160" w:line="480" w:lineRule="auto"/>
        <w:outlineLvl w:val="2"/>
        <w:rPr>
          <w:rFonts w:ascii="Times New Roman" w:hAnsi="Times New Roman"/>
          <w:b/>
          <w:sz w:val="28"/>
          <w:szCs w:val="28"/>
        </w:rPr>
      </w:pPr>
      <w:bookmarkStart w:id="13" w:name="_Toc12908077"/>
      <w:r w:rsidRPr="00994B5F">
        <w:rPr>
          <w:rFonts w:ascii="Times New Roman" w:hAnsi="Times New Roman"/>
          <w:b/>
          <w:sz w:val="28"/>
          <w:szCs w:val="28"/>
        </w:rPr>
        <w:t>Il q</w:t>
      </w:r>
      <w:r w:rsidR="00AB0645" w:rsidRPr="00994B5F">
        <w:rPr>
          <w:rFonts w:ascii="Times New Roman" w:hAnsi="Times New Roman"/>
          <w:b/>
          <w:sz w:val="28"/>
          <w:szCs w:val="28"/>
        </w:rPr>
        <w:t>uestionario</w:t>
      </w:r>
      <w:bookmarkEnd w:id="13"/>
      <w:r w:rsidR="00AB0645" w:rsidRPr="00994B5F">
        <w:rPr>
          <w:rFonts w:ascii="Times New Roman" w:hAnsi="Times New Roman"/>
          <w:b/>
          <w:sz w:val="28"/>
          <w:szCs w:val="28"/>
        </w:rPr>
        <w:t xml:space="preserve"> </w:t>
      </w:r>
    </w:p>
    <w:p w14:paraId="76DB7A9E" w14:textId="77777777" w:rsidR="001A08BD" w:rsidRPr="00676023" w:rsidRDefault="001A08BD" w:rsidP="004258B6">
      <w:pPr>
        <w:pStyle w:val="Paragrafoelenco"/>
        <w:spacing w:line="480" w:lineRule="auto"/>
        <w:ind w:left="0"/>
        <w:rPr>
          <w:rFonts w:ascii="Times New Roman" w:hAnsi="Times New Roman"/>
          <w:i/>
          <w:sz w:val="24"/>
          <w:szCs w:val="24"/>
        </w:rPr>
      </w:pPr>
      <w:r w:rsidRPr="00676023">
        <w:rPr>
          <w:rFonts w:ascii="Times New Roman" w:hAnsi="Times New Roman"/>
          <w:sz w:val="24"/>
          <w:szCs w:val="24"/>
        </w:rPr>
        <w:lastRenderedPageBreak/>
        <w:t>Per la rilevazione dei dati è stato somministrato ad un campion</w:t>
      </w:r>
      <w:r w:rsidR="0079221E" w:rsidRPr="00676023">
        <w:rPr>
          <w:rFonts w:ascii="Times New Roman" w:hAnsi="Times New Roman"/>
          <w:sz w:val="24"/>
          <w:szCs w:val="24"/>
        </w:rPr>
        <w:t>e</w:t>
      </w:r>
      <w:r w:rsidRPr="00676023">
        <w:rPr>
          <w:rFonts w:ascii="Times New Roman" w:hAnsi="Times New Roman"/>
          <w:sz w:val="24"/>
          <w:szCs w:val="24"/>
        </w:rPr>
        <w:t xml:space="preserve"> di 775 MMG genovesi un questionario strutturato tramite supporto elettronico-informatico</w:t>
      </w:r>
      <w:r w:rsidR="00E60091" w:rsidRPr="00676023">
        <w:rPr>
          <w:rFonts w:ascii="Times New Roman" w:hAnsi="Times New Roman"/>
          <w:sz w:val="24"/>
          <w:szCs w:val="24"/>
        </w:rPr>
        <w:t xml:space="preserve"> (</w:t>
      </w:r>
      <w:r w:rsidRPr="00676023">
        <w:rPr>
          <w:rFonts w:ascii="Times New Roman" w:hAnsi="Times New Roman"/>
          <w:sz w:val="24"/>
          <w:szCs w:val="24"/>
        </w:rPr>
        <w:t>CAI</w:t>
      </w:r>
      <w:r w:rsidR="00E60091" w:rsidRPr="00676023">
        <w:rPr>
          <w:rFonts w:ascii="Times New Roman" w:hAnsi="Times New Roman"/>
          <w:sz w:val="24"/>
          <w:szCs w:val="24"/>
        </w:rPr>
        <w:t xml:space="preserve">, </w:t>
      </w:r>
      <w:r w:rsidRPr="00676023">
        <w:rPr>
          <w:rFonts w:ascii="Times New Roman" w:hAnsi="Times New Roman"/>
          <w:i/>
          <w:sz w:val="24"/>
          <w:szCs w:val="24"/>
        </w:rPr>
        <w:t>Computer Assisted Interviewing</w:t>
      </w:r>
      <w:r w:rsidRPr="00676023">
        <w:rPr>
          <w:rFonts w:ascii="Times New Roman" w:hAnsi="Times New Roman"/>
          <w:sz w:val="24"/>
          <w:szCs w:val="24"/>
        </w:rPr>
        <w:t xml:space="preserve">) a compilazione individuale sul web (CAWI, </w:t>
      </w:r>
      <w:r w:rsidRPr="00676023">
        <w:rPr>
          <w:rFonts w:ascii="Times New Roman" w:hAnsi="Times New Roman"/>
          <w:i/>
          <w:sz w:val="24"/>
          <w:szCs w:val="24"/>
        </w:rPr>
        <w:t>Computer Assisted Web Interviewing).</w:t>
      </w:r>
    </w:p>
    <w:p w14:paraId="5CFBF5B5" w14:textId="77777777" w:rsidR="0079221E" w:rsidRPr="00676023" w:rsidRDefault="001A08BD" w:rsidP="004258B6">
      <w:pPr>
        <w:pStyle w:val="Paragrafoelenco"/>
        <w:spacing w:line="480" w:lineRule="auto"/>
        <w:ind w:left="0"/>
        <w:rPr>
          <w:rFonts w:ascii="Times New Roman" w:hAnsi="Times New Roman"/>
          <w:sz w:val="24"/>
          <w:szCs w:val="24"/>
        </w:rPr>
      </w:pPr>
      <w:r w:rsidRPr="00676023">
        <w:rPr>
          <w:rFonts w:ascii="Times New Roman" w:hAnsi="Times New Roman"/>
          <w:sz w:val="24"/>
          <w:szCs w:val="24"/>
        </w:rPr>
        <w:t>Il questionario consisteva in 12 domande a risposta multipl</w:t>
      </w:r>
      <w:r w:rsidR="0079221E" w:rsidRPr="00676023">
        <w:rPr>
          <w:rFonts w:ascii="Times New Roman" w:hAnsi="Times New Roman"/>
          <w:sz w:val="24"/>
          <w:szCs w:val="24"/>
        </w:rPr>
        <w:t>a</w:t>
      </w:r>
      <w:r w:rsidRPr="00676023">
        <w:rPr>
          <w:rFonts w:ascii="Times New Roman" w:hAnsi="Times New Roman"/>
          <w:sz w:val="24"/>
          <w:szCs w:val="24"/>
        </w:rPr>
        <w:t>, in cui il medico rispondente poteva segnare più risposte per alcune domande</w:t>
      </w:r>
      <w:r w:rsidR="0079221E" w:rsidRPr="00676023">
        <w:rPr>
          <w:rFonts w:ascii="Times New Roman" w:hAnsi="Times New Roman"/>
          <w:sz w:val="24"/>
          <w:szCs w:val="24"/>
        </w:rPr>
        <w:t xml:space="preserve">. </w:t>
      </w:r>
    </w:p>
    <w:p w14:paraId="490E19C3" w14:textId="77777777" w:rsidR="0042691B" w:rsidRPr="00676023" w:rsidRDefault="001A08BD" w:rsidP="004258B6">
      <w:pPr>
        <w:pStyle w:val="Paragrafoelenco"/>
        <w:spacing w:line="480" w:lineRule="auto"/>
        <w:ind w:left="0"/>
        <w:rPr>
          <w:rFonts w:ascii="Times New Roman" w:hAnsi="Times New Roman"/>
          <w:sz w:val="24"/>
          <w:szCs w:val="24"/>
        </w:rPr>
      </w:pPr>
      <w:r w:rsidRPr="00676023">
        <w:rPr>
          <w:rFonts w:ascii="Times New Roman" w:hAnsi="Times New Roman"/>
          <w:sz w:val="24"/>
          <w:szCs w:val="24"/>
        </w:rPr>
        <w:t xml:space="preserve">L’indagine era strutturata con le prime dieci domande indirizzate ad individuare il numero di casi </w:t>
      </w:r>
      <w:r w:rsidR="0079221E" w:rsidRPr="00676023">
        <w:rPr>
          <w:rFonts w:ascii="Times New Roman" w:hAnsi="Times New Roman"/>
          <w:sz w:val="24"/>
          <w:szCs w:val="24"/>
        </w:rPr>
        <w:t xml:space="preserve">di AGC </w:t>
      </w:r>
      <w:r w:rsidRPr="00676023">
        <w:rPr>
          <w:rFonts w:ascii="Times New Roman" w:hAnsi="Times New Roman"/>
          <w:sz w:val="24"/>
          <w:szCs w:val="24"/>
        </w:rPr>
        <w:t>riscontrati in un anno e l’iter diagnostico e terapeutico seguito, mentre le ultime due domande chiedevano il numero di assistiti e gli anni di professione del MMG in modo da correlare le risposte con le sue caratteristiche.</w:t>
      </w:r>
    </w:p>
    <w:p w14:paraId="3CFF3517" w14:textId="77777777" w:rsidR="0042691B" w:rsidRPr="00676023" w:rsidRDefault="001A08BD" w:rsidP="004258B6">
      <w:pPr>
        <w:pStyle w:val="Paragrafoelenco"/>
        <w:spacing w:line="480" w:lineRule="auto"/>
        <w:ind w:left="0"/>
        <w:rPr>
          <w:rFonts w:ascii="Times New Roman" w:hAnsi="Times New Roman"/>
          <w:sz w:val="24"/>
          <w:szCs w:val="24"/>
        </w:rPr>
      </w:pPr>
      <w:r w:rsidRPr="00676023">
        <w:rPr>
          <w:rFonts w:ascii="Times New Roman" w:hAnsi="Times New Roman"/>
          <w:sz w:val="24"/>
          <w:szCs w:val="24"/>
        </w:rPr>
        <w:t>Il questionario è stato inviato per la prima volta il 7/02/2019, seguito da un reminder inviato il 28/02/2019.</w:t>
      </w:r>
    </w:p>
    <w:p w14:paraId="25A498BC" w14:textId="77777777" w:rsidR="001A08BD" w:rsidRPr="00676023" w:rsidRDefault="001A08BD" w:rsidP="004258B6">
      <w:pPr>
        <w:pStyle w:val="Paragrafoelenco"/>
        <w:spacing w:line="480" w:lineRule="auto"/>
        <w:ind w:left="0"/>
        <w:rPr>
          <w:rFonts w:ascii="Times New Roman" w:hAnsi="Times New Roman"/>
          <w:sz w:val="24"/>
          <w:szCs w:val="24"/>
        </w:rPr>
      </w:pPr>
      <w:r w:rsidRPr="00676023">
        <w:rPr>
          <w:rFonts w:ascii="Times New Roman" w:hAnsi="Times New Roman"/>
          <w:sz w:val="24"/>
          <w:szCs w:val="24"/>
        </w:rPr>
        <w:t>Le domande presenti nel questionario erano le seguenti:</w:t>
      </w:r>
    </w:p>
    <w:p w14:paraId="368434EC" w14:textId="77777777" w:rsidR="001A08BD" w:rsidRPr="00676023" w:rsidRDefault="001A08BD" w:rsidP="004258B6">
      <w:pPr>
        <w:pStyle w:val="Paragrafoelenco"/>
        <w:spacing w:line="480" w:lineRule="auto"/>
        <w:ind w:left="1080"/>
        <w:rPr>
          <w:rFonts w:ascii="Times New Roman" w:hAnsi="Times New Roman"/>
          <w:sz w:val="24"/>
          <w:szCs w:val="24"/>
        </w:rPr>
      </w:pPr>
    </w:p>
    <w:p w14:paraId="08EF064C" w14:textId="77777777" w:rsidR="001A08BD" w:rsidRPr="00676023" w:rsidRDefault="001A08BD" w:rsidP="004258B6">
      <w:pPr>
        <w:pStyle w:val="Paragrafoelenco"/>
        <w:spacing w:line="480" w:lineRule="auto"/>
        <w:ind w:left="1080"/>
        <w:rPr>
          <w:rFonts w:ascii="Times New Roman" w:hAnsi="Times New Roman"/>
          <w:sz w:val="24"/>
          <w:szCs w:val="24"/>
        </w:rPr>
      </w:pPr>
    </w:p>
    <w:p w14:paraId="54D14CCD"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Nella sua casistica, quanti pazienti con AGC si presentano mediamente in un anno alla sua attenzione?</w:t>
      </w:r>
    </w:p>
    <w:p w14:paraId="7C7C4157" w14:textId="77777777" w:rsidR="001A08BD" w:rsidRPr="00676023" w:rsidRDefault="001A08BD" w:rsidP="004258B6">
      <w:pPr>
        <w:pStyle w:val="Paragrafoelenco"/>
        <w:numPr>
          <w:ilvl w:val="0"/>
          <w:numId w:val="8"/>
        </w:numPr>
        <w:spacing w:after="160" w:line="480" w:lineRule="auto"/>
        <w:rPr>
          <w:rFonts w:ascii="Times New Roman" w:hAnsi="Times New Roman"/>
          <w:sz w:val="24"/>
          <w:szCs w:val="24"/>
        </w:rPr>
      </w:pPr>
      <w:r w:rsidRPr="00676023">
        <w:rPr>
          <w:rFonts w:ascii="Times New Roman" w:hAnsi="Times New Roman"/>
          <w:sz w:val="24"/>
          <w:szCs w:val="24"/>
        </w:rPr>
        <w:t>È una patologia che non riscontro nella mia pratica</w:t>
      </w:r>
    </w:p>
    <w:p w14:paraId="45E3A3E3" w14:textId="77777777" w:rsidR="001A08BD" w:rsidRPr="00676023" w:rsidRDefault="001A08BD" w:rsidP="004258B6">
      <w:pPr>
        <w:pStyle w:val="Paragrafoelenco"/>
        <w:numPr>
          <w:ilvl w:val="0"/>
          <w:numId w:val="8"/>
        </w:numPr>
        <w:spacing w:after="160" w:line="480" w:lineRule="auto"/>
        <w:rPr>
          <w:rFonts w:ascii="Times New Roman" w:hAnsi="Times New Roman"/>
          <w:sz w:val="24"/>
          <w:szCs w:val="24"/>
        </w:rPr>
      </w:pPr>
      <w:r w:rsidRPr="00676023">
        <w:rPr>
          <w:rFonts w:ascii="Times New Roman" w:hAnsi="Times New Roman"/>
          <w:sz w:val="24"/>
          <w:szCs w:val="24"/>
        </w:rPr>
        <w:t>1-2 casi all’anno</w:t>
      </w:r>
    </w:p>
    <w:p w14:paraId="491309EA" w14:textId="77777777" w:rsidR="001A08BD" w:rsidRPr="00676023" w:rsidRDefault="001A08BD" w:rsidP="004258B6">
      <w:pPr>
        <w:pStyle w:val="Paragrafoelenco"/>
        <w:numPr>
          <w:ilvl w:val="0"/>
          <w:numId w:val="8"/>
        </w:numPr>
        <w:spacing w:after="160" w:line="480" w:lineRule="auto"/>
        <w:rPr>
          <w:rFonts w:ascii="Times New Roman" w:hAnsi="Times New Roman"/>
          <w:sz w:val="24"/>
          <w:szCs w:val="24"/>
        </w:rPr>
      </w:pPr>
      <w:r w:rsidRPr="00676023">
        <w:rPr>
          <w:rFonts w:ascii="Times New Roman" w:hAnsi="Times New Roman"/>
          <w:sz w:val="24"/>
          <w:szCs w:val="24"/>
        </w:rPr>
        <w:t>3-4 casi all’anno</w:t>
      </w:r>
    </w:p>
    <w:p w14:paraId="7A7036A9" w14:textId="77777777" w:rsidR="001A08BD" w:rsidRPr="00676023" w:rsidRDefault="001A08BD" w:rsidP="004258B6">
      <w:pPr>
        <w:pStyle w:val="Paragrafoelenco"/>
        <w:numPr>
          <w:ilvl w:val="0"/>
          <w:numId w:val="8"/>
        </w:numPr>
        <w:spacing w:after="160" w:line="480" w:lineRule="auto"/>
        <w:rPr>
          <w:rFonts w:ascii="Times New Roman" w:hAnsi="Times New Roman"/>
          <w:sz w:val="24"/>
          <w:szCs w:val="24"/>
        </w:rPr>
      </w:pPr>
      <w:r w:rsidRPr="00676023">
        <w:rPr>
          <w:rFonts w:ascii="Times New Roman" w:hAnsi="Times New Roman"/>
          <w:sz w:val="24"/>
          <w:szCs w:val="24"/>
        </w:rPr>
        <w:t>Più di 4 casi all’anno</w:t>
      </w:r>
    </w:p>
    <w:p w14:paraId="3DEDFDBC"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Quanti fra i suoi assistiti in totale presentano al momento una diagnosi di AGC?</w:t>
      </w:r>
    </w:p>
    <w:p w14:paraId="6E2BF760" w14:textId="77777777" w:rsidR="001A08BD" w:rsidRPr="00676023" w:rsidRDefault="001A08BD" w:rsidP="004258B6">
      <w:pPr>
        <w:pStyle w:val="Paragrafoelenco"/>
        <w:numPr>
          <w:ilvl w:val="0"/>
          <w:numId w:val="9"/>
        </w:numPr>
        <w:spacing w:after="160" w:line="480" w:lineRule="auto"/>
        <w:rPr>
          <w:rFonts w:ascii="Times New Roman" w:hAnsi="Times New Roman"/>
          <w:sz w:val="24"/>
          <w:szCs w:val="24"/>
        </w:rPr>
      </w:pPr>
      <w:r w:rsidRPr="00676023">
        <w:rPr>
          <w:rFonts w:ascii="Times New Roman" w:hAnsi="Times New Roman"/>
          <w:sz w:val="24"/>
          <w:szCs w:val="24"/>
        </w:rPr>
        <w:lastRenderedPageBreak/>
        <w:t>0-2 pazienti</w:t>
      </w:r>
    </w:p>
    <w:p w14:paraId="27BE152A" w14:textId="77777777" w:rsidR="001A08BD" w:rsidRPr="00676023" w:rsidRDefault="001A08BD" w:rsidP="004258B6">
      <w:pPr>
        <w:pStyle w:val="Paragrafoelenco"/>
        <w:numPr>
          <w:ilvl w:val="0"/>
          <w:numId w:val="9"/>
        </w:numPr>
        <w:spacing w:after="160" w:line="480" w:lineRule="auto"/>
        <w:rPr>
          <w:rFonts w:ascii="Times New Roman" w:hAnsi="Times New Roman"/>
          <w:sz w:val="24"/>
          <w:szCs w:val="24"/>
        </w:rPr>
      </w:pPr>
      <w:r w:rsidRPr="00676023">
        <w:rPr>
          <w:rFonts w:ascii="Times New Roman" w:hAnsi="Times New Roman"/>
          <w:sz w:val="24"/>
          <w:szCs w:val="24"/>
        </w:rPr>
        <w:t>3-10 pazienti</w:t>
      </w:r>
    </w:p>
    <w:p w14:paraId="423EA654" w14:textId="77777777" w:rsidR="001A08BD" w:rsidRPr="00676023" w:rsidRDefault="001A08BD" w:rsidP="004258B6">
      <w:pPr>
        <w:pStyle w:val="Paragrafoelenco"/>
        <w:numPr>
          <w:ilvl w:val="0"/>
          <w:numId w:val="9"/>
        </w:numPr>
        <w:spacing w:after="160" w:line="480" w:lineRule="auto"/>
        <w:rPr>
          <w:rFonts w:ascii="Times New Roman" w:hAnsi="Times New Roman"/>
          <w:sz w:val="24"/>
          <w:szCs w:val="24"/>
        </w:rPr>
      </w:pPr>
      <w:r w:rsidRPr="00676023">
        <w:rPr>
          <w:rFonts w:ascii="Times New Roman" w:hAnsi="Times New Roman"/>
          <w:sz w:val="24"/>
          <w:szCs w:val="24"/>
        </w:rPr>
        <w:t>11-20 pazienti</w:t>
      </w:r>
    </w:p>
    <w:p w14:paraId="787FB596" w14:textId="77777777" w:rsidR="001A08BD" w:rsidRPr="00676023" w:rsidRDefault="001A08BD" w:rsidP="004258B6">
      <w:pPr>
        <w:pStyle w:val="Paragrafoelenco"/>
        <w:numPr>
          <w:ilvl w:val="0"/>
          <w:numId w:val="9"/>
        </w:numPr>
        <w:spacing w:after="160" w:line="480" w:lineRule="auto"/>
        <w:rPr>
          <w:rFonts w:ascii="Times New Roman" w:hAnsi="Times New Roman"/>
          <w:sz w:val="24"/>
          <w:szCs w:val="24"/>
        </w:rPr>
      </w:pPr>
      <w:r w:rsidRPr="00676023">
        <w:rPr>
          <w:rFonts w:ascii="Times New Roman" w:hAnsi="Times New Roman"/>
          <w:sz w:val="24"/>
          <w:szCs w:val="24"/>
        </w:rPr>
        <w:t>Più di 20 pazienti</w:t>
      </w:r>
    </w:p>
    <w:p w14:paraId="566629DC"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Nella sua esperienza, qual è la fascia di età più rappresentata dei pazienti affetti da AGC?</w:t>
      </w:r>
    </w:p>
    <w:p w14:paraId="2860CC31" w14:textId="77777777" w:rsidR="001A08BD" w:rsidRPr="00676023" w:rsidRDefault="001A08BD" w:rsidP="004258B6">
      <w:pPr>
        <w:pStyle w:val="Paragrafoelenco"/>
        <w:numPr>
          <w:ilvl w:val="0"/>
          <w:numId w:val="10"/>
        </w:numPr>
        <w:spacing w:after="160" w:line="480" w:lineRule="auto"/>
        <w:rPr>
          <w:rFonts w:ascii="Times New Roman" w:hAnsi="Times New Roman"/>
          <w:sz w:val="24"/>
          <w:szCs w:val="24"/>
        </w:rPr>
      </w:pPr>
      <w:r w:rsidRPr="00676023">
        <w:rPr>
          <w:rFonts w:ascii="Times New Roman" w:hAnsi="Times New Roman"/>
          <w:sz w:val="24"/>
          <w:szCs w:val="24"/>
        </w:rPr>
        <w:t>40-50 anni</w:t>
      </w:r>
    </w:p>
    <w:p w14:paraId="24864387" w14:textId="77777777" w:rsidR="001A08BD" w:rsidRPr="00676023" w:rsidRDefault="001A08BD" w:rsidP="004258B6">
      <w:pPr>
        <w:pStyle w:val="Paragrafoelenco"/>
        <w:numPr>
          <w:ilvl w:val="0"/>
          <w:numId w:val="10"/>
        </w:numPr>
        <w:spacing w:after="160" w:line="480" w:lineRule="auto"/>
        <w:rPr>
          <w:rFonts w:ascii="Times New Roman" w:hAnsi="Times New Roman"/>
          <w:sz w:val="24"/>
          <w:szCs w:val="24"/>
        </w:rPr>
      </w:pPr>
      <w:r w:rsidRPr="00676023">
        <w:rPr>
          <w:rFonts w:ascii="Times New Roman" w:hAnsi="Times New Roman"/>
          <w:sz w:val="24"/>
          <w:szCs w:val="24"/>
        </w:rPr>
        <w:t>&gt;51 anni</w:t>
      </w:r>
    </w:p>
    <w:p w14:paraId="4DD94FB5"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Qual è la manifestazione più frequente della AGC nei suoi pazienti?</w:t>
      </w:r>
    </w:p>
    <w:p w14:paraId="24D3BF67" w14:textId="77777777" w:rsidR="001A08BD" w:rsidRPr="00676023" w:rsidRDefault="001A08BD" w:rsidP="004258B6">
      <w:pPr>
        <w:pStyle w:val="Paragrafoelenco"/>
        <w:numPr>
          <w:ilvl w:val="0"/>
          <w:numId w:val="11"/>
        </w:numPr>
        <w:spacing w:after="160" w:line="480" w:lineRule="auto"/>
        <w:rPr>
          <w:rFonts w:ascii="Times New Roman" w:hAnsi="Times New Roman"/>
          <w:sz w:val="24"/>
          <w:szCs w:val="24"/>
        </w:rPr>
      </w:pPr>
      <w:r w:rsidRPr="00676023">
        <w:rPr>
          <w:rFonts w:ascii="Times New Roman" w:hAnsi="Times New Roman"/>
          <w:sz w:val="24"/>
          <w:szCs w:val="24"/>
        </w:rPr>
        <w:t>Segni sistemici (febbre, calo ponderale, astenia)</w:t>
      </w:r>
    </w:p>
    <w:p w14:paraId="6A62946D" w14:textId="77777777" w:rsidR="001A08BD" w:rsidRPr="00676023" w:rsidRDefault="001A08BD" w:rsidP="004258B6">
      <w:pPr>
        <w:pStyle w:val="Paragrafoelenco"/>
        <w:numPr>
          <w:ilvl w:val="0"/>
          <w:numId w:val="11"/>
        </w:numPr>
        <w:spacing w:after="160" w:line="480" w:lineRule="auto"/>
        <w:rPr>
          <w:rFonts w:ascii="Times New Roman" w:hAnsi="Times New Roman"/>
          <w:sz w:val="24"/>
          <w:szCs w:val="24"/>
        </w:rPr>
      </w:pPr>
      <w:r w:rsidRPr="00676023">
        <w:rPr>
          <w:rFonts w:ascii="Times New Roman" w:hAnsi="Times New Roman"/>
          <w:sz w:val="24"/>
          <w:szCs w:val="24"/>
        </w:rPr>
        <w:t>Cefalea di nuova insorgenza</w:t>
      </w:r>
    </w:p>
    <w:p w14:paraId="62E51AC6" w14:textId="77777777" w:rsidR="001A08BD" w:rsidRPr="00676023" w:rsidRDefault="001A08BD" w:rsidP="004258B6">
      <w:pPr>
        <w:pStyle w:val="Paragrafoelenco"/>
        <w:numPr>
          <w:ilvl w:val="0"/>
          <w:numId w:val="11"/>
        </w:numPr>
        <w:spacing w:after="160" w:line="480" w:lineRule="auto"/>
        <w:rPr>
          <w:rFonts w:ascii="Times New Roman" w:hAnsi="Times New Roman"/>
          <w:sz w:val="24"/>
          <w:szCs w:val="24"/>
        </w:rPr>
      </w:pPr>
      <w:r w:rsidRPr="00676023">
        <w:rPr>
          <w:rFonts w:ascii="Times New Roman" w:hAnsi="Times New Roman"/>
          <w:sz w:val="24"/>
          <w:szCs w:val="24"/>
        </w:rPr>
        <w:t xml:space="preserve">Artralgie </w:t>
      </w:r>
    </w:p>
    <w:p w14:paraId="0A40FD78" w14:textId="77777777" w:rsidR="001A08BD" w:rsidRPr="00676023" w:rsidRDefault="001A08BD" w:rsidP="004258B6">
      <w:pPr>
        <w:pStyle w:val="Paragrafoelenco"/>
        <w:numPr>
          <w:ilvl w:val="0"/>
          <w:numId w:val="11"/>
        </w:numPr>
        <w:spacing w:after="160" w:line="480" w:lineRule="auto"/>
        <w:rPr>
          <w:rFonts w:ascii="Times New Roman" w:hAnsi="Times New Roman"/>
          <w:sz w:val="24"/>
          <w:szCs w:val="24"/>
        </w:rPr>
      </w:pPr>
      <w:r w:rsidRPr="00676023">
        <w:rPr>
          <w:rFonts w:ascii="Times New Roman" w:hAnsi="Times New Roman"/>
          <w:sz w:val="24"/>
          <w:szCs w:val="24"/>
        </w:rPr>
        <w:t>Disturbi alla vista</w:t>
      </w:r>
    </w:p>
    <w:p w14:paraId="7A488868"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Quali esami di laboratorio richiede di solito ai pazienti con sospetta AGC per confermare la diagnosi?</w:t>
      </w:r>
    </w:p>
    <w:p w14:paraId="4BA5F73D" w14:textId="77777777" w:rsidR="001A08BD" w:rsidRPr="00676023" w:rsidRDefault="001A08BD" w:rsidP="004258B6">
      <w:pPr>
        <w:pStyle w:val="Paragrafoelenco"/>
        <w:numPr>
          <w:ilvl w:val="0"/>
          <w:numId w:val="12"/>
        </w:numPr>
        <w:spacing w:after="160" w:line="480" w:lineRule="auto"/>
        <w:rPr>
          <w:rFonts w:ascii="Times New Roman" w:hAnsi="Times New Roman"/>
          <w:sz w:val="24"/>
          <w:szCs w:val="24"/>
        </w:rPr>
      </w:pPr>
      <w:r w:rsidRPr="00676023">
        <w:rPr>
          <w:rFonts w:ascii="Times New Roman" w:hAnsi="Times New Roman"/>
          <w:sz w:val="24"/>
          <w:szCs w:val="24"/>
        </w:rPr>
        <w:t>VES/PCR</w:t>
      </w:r>
    </w:p>
    <w:p w14:paraId="390AC9EF" w14:textId="77777777" w:rsidR="001A08BD" w:rsidRPr="00676023" w:rsidRDefault="001A08BD" w:rsidP="004258B6">
      <w:pPr>
        <w:pStyle w:val="Paragrafoelenco"/>
        <w:numPr>
          <w:ilvl w:val="0"/>
          <w:numId w:val="12"/>
        </w:numPr>
        <w:spacing w:after="160" w:line="480" w:lineRule="auto"/>
        <w:rPr>
          <w:rFonts w:ascii="Times New Roman" w:hAnsi="Times New Roman"/>
          <w:sz w:val="24"/>
          <w:szCs w:val="24"/>
        </w:rPr>
      </w:pPr>
      <w:r w:rsidRPr="00676023">
        <w:rPr>
          <w:rFonts w:ascii="Times New Roman" w:hAnsi="Times New Roman"/>
          <w:sz w:val="24"/>
          <w:szCs w:val="24"/>
        </w:rPr>
        <w:t>Emocromo</w:t>
      </w:r>
    </w:p>
    <w:p w14:paraId="6DF1A971" w14:textId="77777777" w:rsidR="001A08BD" w:rsidRPr="00676023" w:rsidRDefault="001A08BD" w:rsidP="004258B6">
      <w:pPr>
        <w:pStyle w:val="Paragrafoelenco"/>
        <w:numPr>
          <w:ilvl w:val="0"/>
          <w:numId w:val="12"/>
        </w:numPr>
        <w:spacing w:after="160" w:line="480" w:lineRule="auto"/>
        <w:rPr>
          <w:rFonts w:ascii="Times New Roman" w:hAnsi="Times New Roman"/>
          <w:sz w:val="24"/>
          <w:szCs w:val="24"/>
        </w:rPr>
      </w:pPr>
      <w:r w:rsidRPr="00676023">
        <w:rPr>
          <w:rFonts w:ascii="Times New Roman" w:hAnsi="Times New Roman"/>
          <w:sz w:val="24"/>
          <w:szCs w:val="24"/>
        </w:rPr>
        <w:t>Fattore reumatoide (RA test) / Ac anticitrullina</w:t>
      </w:r>
    </w:p>
    <w:p w14:paraId="6AFE4929" w14:textId="77777777" w:rsidR="001A08BD" w:rsidRPr="00676023" w:rsidRDefault="001A08BD" w:rsidP="004258B6">
      <w:pPr>
        <w:pStyle w:val="Paragrafoelenco"/>
        <w:numPr>
          <w:ilvl w:val="0"/>
          <w:numId w:val="12"/>
        </w:numPr>
        <w:spacing w:after="160" w:line="480" w:lineRule="auto"/>
        <w:rPr>
          <w:rFonts w:ascii="Times New Roman" w:hAnsi="Times New Roman"/>
          <w:sz w:val="24"/>
          <w:szCs w:val="24"/>
        </w:rPr>
      </w:pPr>
      <w:r w:rsidRPr="00676023">
        <w:rPr>
          <w:rFonts w:ascii="Times New Roman" w:hAnsi="Times New Roman"/>
          <w:sz w:val="24"/>
          <w:szCs w:val="24"/>
        </w:rPr>
        <w:t>Tutti i precedenti</w:t>
      </w:r>
    </w:p>
    <w:p w14:paraId="3849A680"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Per formulare la diagnosi di AGC su quali elementi si basa?</w:t>
      </w:r>
    </w:p>
    <w:p w14:paraId="7C855908" w14:textId="77777777" w:rsidR="001A08BD" w:rsidRPr="00676023" w:rsidRDefault="001A08BD" w:rsidP="004258B6">
      <w:pPr>
        <w:pStyle w:val="Paragrafoelenco"/>
        <w:numPr>
          <w:ilvl w:val="0"/>
          <w:numId w:val="13"/>
        </w:numPr>
        <w:spacing w:after="160" w:line="480" w:lineRule="auto"/>
        <w:rPr>
          <w:rFonts w:ascii="Times New Roman" w:hAnsi="Times New Roman"/>
          <w:sz w:val="24"/>
          <w:szCs w:val="24"/>
        </w:rPr>
      </w:pPr>
      <w:r w:rsidRPr="00676023">
        <w:rPr>
          <w:rFonts w:ascii="Times New Roman" w:hAnsi="Times New Roman"/>
          <w:sz w:val="24"/>
          <w:szCs w:val="24"/>
        </w:rPr>
        <w:t>Sulla presentazione clinica</w:t>
      </w:r>
    </w:p>
    <w:p w14:paraId="22B594A0" w14:textId="77777777" w:rsidR="001A08BD" w:rsidRPr="00676023" w:rsidRDefault="001A08BD" w:rsidP="004258B6">
      <w:pPr>
        <w:pStyle w:val="Paragrafoelenco"/>
        <w:numPr>
          <w:ilvl w:val="0"/>
          <w:numId w:val="13"/>
        </w:numPr>
        <w:spacing w:after="160" w:line="480" w:lineRule="auto"/>
        <w:rPr>
          <w:rFonts w:ascii="Times New Roman" w:hAnsi="Times New Roman"/>
          <w:sz w:val="24"/>
          <w:szCs w:val="24"/>
        </w:rPr>
      </w:pPr>
      <w:r w:rsidRPr="00676023">
        <w:rPr>
          <w:rFonts w:ascii="Times New Roman" w:hAnsi="Times New Roman"/>
          <w:sz w:val="24"/>
          <w:szCs w:val="24"/>
        </w:rPr>
        <w:t>Sulla biopsia dell’arteria temporale</w:t>
      </w:r>
    </w:p>
    <w:p w14:paraId="2B137666" w14:textId="77777777" w:rsidR="001A08BD" w:rsidRPr="00676023" w:rsidRDefault="001A08BD" w:rsidP="004258B6">
      <w:pPr>
        <w:pStyle w:val="Paragrafoelenco"/>
        <w:numPr>
          <w:ilvl w:val="0"/>
          <w:numId w:val="13"/>
        </w:numPr>
        <w:spacing w:after="160" w:line="480" w:lineRule="auto"/>
        <w:rPr>
          <w:rFonts w:ascii="Times New Roman" w:hAnsi="Times New Roman"/>
          <w:sz w:val="24"/>
          <w:szCs w:val="24"/>
        </w:rPr>
      </w:pPr>
      <w:r w:rsidRPr="00676023">
        <w:rPr>
          <w:rFonts w:ascii="Times New Roman" w:hAnsi="Times New Roman"/>
          <w:sz w:val="24"/>
          <w:szCs w:val="24"/>
        </w:rPr>
        <w:t>Sulle tecniche di imaging</w:t>
      </w:r>
    </w:p>
    <w:p w14:paraId="24B1EA58"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lastRenderedPageBreak/>
        <w:t>Se ricorre alle tecniche di imaging per confermare la diagnosi di AGC, quale tra queste utilizza?</w:t>
      </w:r>
    </w:p>
    <w:p w14:paraId="5877E9CA" w14:textId="77777777" w:rsidR="001A08BD" w:rsidRPr="00676023" w:rsidRDefault="001A08BD" w:rsidP="004258B6">
      <w:pPr>
        <w:pStyle w:val="Paragrafoelenco"/>
        <w:numPr>
          <w:ilvl w:val="0"/>
          <w:numId w:val="14"/>
        </w:numPr>
        <w:spacing w:after="160" w:line="480" w:lineRule="auto"/>
        <w:rPr>
          <w:rFonts w:ascii="Times New Roman" w:hAnsi="Times New Roman"/>
          <w:sz w:val="24"/>
          <w:szCs w:val="24"/>
        </w:rPr>
      </w:pPr>
      <w:r w:rsidRPr="00676023">
        <w:rPr>
          <w:rFonts w:ascii="Times New Roman" w:hAnsi="Times New Roman"/>
          <w:sz w:val="24"/>
          <w:szCs w:val="24"/>
        </w:rPr>
        <w:t>Ecografia</w:t>
      </w:r>
    </w:p>
    <w:p w14:paraId="0B50D097" w14:textId="77777777" w:rsidR="001A08BD" w:rsidRPr="00676023" w:rsidRDefault="001A08BD" w:rsidP="004258B6">
      <w:pPr>
        <w:pStyle w:val="Paragrafoelenco"/>
        <w:numPr>
          <w:ilvl w:val="0"/>
          <w:numId w:val="14"/>
        </w:numPr>
        <w:spacing w:after="160" w:line="480" w:lineRule="auto"/>
        <w:rPr>
          <w:rFonts w:ascii="Times New Roman" w:hAnsi="Times New Roman"/>
          <w:sz w:val="24"/>
          <w:szCs w:val="24"/>
        </w:rPr>
      </w:pPr>
      <w:r w:rsidRPr="00676023">
        <w:rPr>
          <w:rFonts w:ascii="Times New Roman" w:hAnsi="Times New Roman"/>
          <w:sz w:val="24"/>
          <w:szCs w:val="24"/>
        </w:rPr>
        <w:t>Tomografia computerizzata (TC) con mezzo di contrasto o risonanza magnetica (RM)</w:t>
      </w:r>
    </w:p>
    <w:p w14:paraId="365EDB0B" w14:textId="77777777" w:rsidR="001A08BD" w:rsidRPr="00676023" w:rsidRDefault="001A08BD" w:rsidP="004258B6">
      <w:pPr>
        <w:pStyle w:val="Paragrafoelenco"/>
        <w:numPr>
          <w:ilvl w:val="0"/>
          <w:numId w:val="14"/>
        </w:numPr>
        <w:spacing w:after="160" w:line="480" w:lineRule="auto"/>
        <w:rPr>
          <w:rFonts w:ascii="Times New Roman" w:hAnsi="Times New Roman"/>
          <w:sz w:val="24"/>
          <w:szCs w:val="24"/>
        </w:rPr>
      </w:pPr>
      <w:r w:rsidRPr="00676023">
        <w:rPr>
          <w:rFonts w:ascii="Times New Roman" w:hAnsi="Times New Roman"/>
          <w:sz w:val="24"/>
          <w:szCs w:val="24"/>
        </w:rPr>
        <w:t>Tomografia ad emissioni di positroni (PET)</w:t>
      </w:r>
    </w:p>
    <w:p w14:paraId="7005F296" w14:textId="77777777" w:rsidR="001A08BD" w:rsidRPr="00676023" w:rsidRDefault="001A08BD" w:rsidP="004258B6">
      <w:pPr>
        <w:pStyle w:val="Paragrafoelenco"/>
        <w:numPr>
          <w:ilvl w:val="0"/>
          <w:numId w:val="14"/>
        </w:numPr>
        <w:spacing w:after="160" w:line="480" w:lineRule="auto"/>
        <w:rPr>
          <w:rFonts w:ascii="Times New Roman" w:hAnsi="Times New Roman"/>
          <w:sz w:val="24"/>
          <w:szCs w:val="24"/>
        </w:rPr>
      </w:pPr>
      <w:r w:rsidRPr="00676023">
        <w:rPr>
          <w:rFonts w:ascii="Times New Roman" w:hAnsi="Times New Roman"/>
          <w:sz w:val="24"/>
          <w:szCs w:val="24"/>
        </w:rPr>
        <w:t>Non utilizzo tecniche di imaging per diagnosticare la AGC</w:t>
      </w:r>
    </w:p>
    <w:p w14:paraId="2F384A2C"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Nel caso di sospetta AGC, a quale specialista invia il paziente?</w:t>
      </w:r>
    </w:p>
    <w:p w14:paraId="1D824032" w14:textId="77777777" w:rsidR="001A08BD" w:rsidRPr="00676023" w:rsidRDefault="001A08BD" w:rsidP="004258B6">
      <w:pPr>
        <w:pStyle w:val="Paragrafoelenco"/>
        <w:numPr>
          <w:ilvl w:val="0"/>
          <w:numId w:val="15"/>
        </w:numPr>
        <w:spacing w:after="160" w:line="480" w:lineRule="auto"/>
        <w:rPr>
          <w:rFonts w:ascii="Times New Roman" w:hAnsi="Times New Roman"/>
          <w:sz w:val="24"/>
          <w:szCs w:val="24"/>
        </w:rPr>
      </w:pPr>
      <w:r w:rsidRPr="00676023">
        <w:rPr>
          <w:rFonts w:ascii="Times New Roman" w:hAnsi="Times New Roman"/>
          <w:sz w:val="24"/>
          <w:szCs w:val="24"/>
        </w:rPr>
        <w:t>Al reumatologo</w:t>
      </w:r>
    </w:p>
    <w:p w14:paraId="28E57936" w14:textId="77777777" w:rsidR="001A08BD" w:rsidRPr="00676023" w:rsidRDefault="001A08BD" w:rsidP="004258B6">
      <w:pPr>
        <w:pStyle w:val="Paragrafoelenco"/>
        <w:numPr>
          <w:ilvl w:val="0"/>
          <w:numId w:val="15"/>
        </w:numPr>
        <w:spacing w:after="160" w:line="480" w:lineRule="auto"/>
        <w:rPr>
          <w:rFonts w:ascii="Times New Roman" w:hAnsi="Times New Roman"/>
          <w:sz w:val="24"/>
          <w:szCs w:val="24"/>
        </w:rPr>
      </w:pPr>
      <w:r w:rsidRPr="00676023">
        <w:rPr>
          <w:rFonts w:ascii="Times New Roman" w:hAnsi="Times New Roman"/>
          <w:sz w:val="24"/>
          <w:szCs w:val="24"/>
        </w:rPr>
        <w:t>All’immunologo</w:t>
      </w:r>
    </w:p>
    <w:p w14:paraId="0667C531" w14:textId="77777777" w:rsidR="001A08BD" w:rsidRPr="00676023" w:rsidRDefault="001A08BD" w:rsidP="004258B6">
      <w:pPr>
        <w:pStyle w:val="Paragrafoelenco"/>
        <w:numPr>
          <w:ilvl w:val="0"/>
          <w:numId w:val="15"/>
        </w:numPr>
        <w:spacing w:after="160" w:line="480" w:lineRule="auto"/>
        <w:rPr>
          <w:rFonts w:ascii="Times New Roman" w:hAnsi="Times New Roman"/>
          <w:sz w:val="24"/>
          <w:szCs w:val="24"/>
        </w:rPr>
      </w:pPr>
      <w:r w:rsidRPr="00676023">
        <w:rPr>
          <w:rFonts w:ascii="Times New Roman" w:hAnsi="Times New Roman"/>
          <w:sz w:val="24"/>
          <w:szCs w:val="24"/>
        </w:rPr>
        <w:t>All’internista</w:t>
      </w:r>
    </w:p>
    <w:p w14:paraId="5604A198" w14:textId="77777777" w:rsidR="001A08BD" w:rsidRPr="00676023" w:rsidRDefault="001A08BD" w:rsidP="004258B6">
      <w:pPr>
        <w:pStyle w:val="Paragrafoelenco"/>
        <w:numPr>
          <w:ilvl w:val="0"/>
          <w:numId w:val="15"/>
        </w:numPr>
        <w:spacing w:after="160" w:line="480" w:lineRule="auto"/>
        <w:rPr>
          <w:rFonts w:ascii="Times New Roman" w:hAnsi="Times New Roman"/>
          <w:sz w:val="24"/>
          <w:szCs w:val="24"/>
        </w:rPr>
      </w:pPr>
      <w:r w:rsidRPr="00676023">
        <w:rPr>
          <w:rFonts w:ascii="Times New Roman" w:hAnsi="Times New Roman"/>
          <w:sz w:val="24"/>
          <w:szCs w:val="24"/>
        </w:rPr>
        <w:t>All’oculista</w:t>
      </w:r>
    </w:p>
    <w:p w14:paraId="0AB83849" w14:textId="77777777" w:rsidR="001A08BD" w:rsidRPr="00676023" w:rsidRDefault="001A08BD" w:rsidP="004258B6">
      <w:pPr>
        <w:pStyle w:val="Paragrafoelenco"/>
        <w:numPr>
          <w:ilvl w:val="0"/>
          <w:numId w:val="15"/>
        </w:numPr>
        <w:spacing w:after="160" w:line="480" w:lineRule="auto"/>
        <w:rPr>
          <w:rFonts w:ascii="Times New Roman" w:hAnsi="Times New Roman"/>
          <w:sz w:val="24"/>
          <w:szCs w:val="24"/>
        </w:rPr>
      </w:pPr>
      <w:r w:rsidRPr="00676023">
        <w:rPr>
          <w:rFonts w:ascii="Times New Roman" w:hAnsi="Times New Roman"/>
          <w:sz w:val="24"/>
          <w:szCs w:val="24"/>
        </w:rPr>
        <w:t>Al neurologo</w:t>
      </w:r>
    </w:p>
    <w:p w14:paraId="585409DB" w14:textId="77777777" w:rsidR="001A08BD" w:rsidRPr="00676023" w:rsidRDefault="001A08BD" w:rsidP="004258B6">
      <w:pPr>
        <w:pStyle w:val="Paragrafoelenco"/>
        <w:numPr>
          <w:ilvl w:val="0"/>
          <w:numId w:val="15"/>
        </w:numPr>
        <w:spacing w:after="160" w:line="480" w:lineRule="auto"/>
        <w:rPr>
          <w:rFonts w:ascii="Times New Roman" w:hAnsi="Times New Roman"/>
          <w:sz w:val="24"/>
          <w:szCs w:val="24"/>
        </w:rPr>
      </w:pPr>
      <w:r w:rsidRPr="00676023">
        <w:rPr>
          <w:rFonts w:ascii="Times New Roman" w:hAnsi="Times New Roman"/>
          <w:sz w:val="24"/>
          <w:szCs w:val="24"/>
        </w:rPr>
        <w:t>A nessuna delle figure suddette, gestisco il paziente in autonomia</w:t>
      </w:r>
    </w:p>
    <w:p w14:paraId="2B0AFF63"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Quando inizia la terapia nei suoi pazienti con AGC?</w:t>
      </w:r>
    </w:p>
    <w:p w14:paraId="5FF430DC" w14:textId="77777777" w:rsidR="001A08BD" w:rsidRPr="00676023" w:rsidRDefault="001A08BD" w:rsidP="004258B6">
      <w:pPr>
        <w:pStyle w:val="Paragrafoelenco"/>
        <w:numPr>
          <w:ilvl w:val="0"/>
          <w:numId w:val="16"/>
        </w:numPr>
        <w:spacing w:after="160" w:line="480" w:lineRule="auto"/>
        <w:rPr>
          <w:rFonts w:ascii="Times New Roman" w:hAnsi="Times New Roman"/>
          <w:sz w:val="24"/>
          <w:szCs w:val="24"/>
        </w:rPr>
      </w:pPr>
      <w:r w:rsidRPr="00676023">
        <w:rPr>
          <w:rFonts w:ascii="Times New Roman" w:hAnsi="Times New Roman"/>
          <w:sz w:val="24"/>
          <w:szCs w:val="24"/>
        </w:rPr>
        <w:t xml:space="preserve">Al momento del primo sospetto clinico </w:t>
      </w:r>
    </w:p>
    <w:p w14:paraId="36035518" w14:textId="77777777" w:rsidR="001A08BD" w:rsidRPr="00676023" w:rsidRDefault="001A08BD" w:rsidP="004258B6">
      <w:pPr>
        <w:pStyle w:val="Paragrafoelenco"/>
        <w:numPr>
          <w:ilvl w:val="0"/>
          <w:numId w:val="16"/>
        </w:numPr>
        <w:spacing w:after="160" w:line="480" w:lineRule="auto"/>
        <w:rPr>
          <w:rFonts w:ascii="Times New Roman" w:hAnsi="Times New Roman"/>
          <w:sz w:val="24"/>
          <w:szCs w:val="24"/>
        </w:rPr>
      </w:pPr>
      <w:r w:rsidRPr="00676023">
        <w:rPr>
          <w:rFonts w:ascii="Times New Roman" w:hAnsi="Times New Roman"/>
          <w:sz w:val="24"/>
          <w:szCs w:val="24"/>
        </w:rPr>
        <w:t>Dopo aver avuto il risultato degli esami eseguiti</w:t>
      </w:r>
    </w:p>
    <w:p w14:paraId="38E44625" w14:textId="77777777" w:rsidR="001A08BD" w:rsidRPr="00676023" w:rsidRDefault="001A08BD" w:rsidP="004258B6">
      <w:pPr>
        <w:pStyle w:val="Paragrafoelenco"/>
        <w:numPr>
          <w:ilvl w:val="0"/>
          <w:numId w:val="16"/>
        </w:numPr>
        <w:spacing w:after="160" w:line="480" w:lineRule="auto"/>
        <w:rPr>
          <w:rFonts w:ascii="Times New Roman" w:hAnsi="Times New Roman"/>
          <w:sz w:val="24"/>
          <w:szCs w:val="24"/>
        </w:rPr>
      </w:pPr>
      <w:r w:rsidRPr="00676023">
        <w:rPr>
          <w:rFonts w:ascii="Times New Roman" w:hAnsi="Times New Roman"/>
          <w:sz w:val="24"/>
          <w:szCs w:val="24"/>
        </w:rPr>
        <w:t>Dopo la visita specialistica</w:t>
      </w:r>
    </w:p>
    <w:p w14:paraId="2863DDC6" w14:textId="77777777" w:rsidR="001A08BD" w:rsidRPr="00676023" w:rsidRDefault="001A08BD" w:rsidP="004258B6">
      <w:pPr>
        <w:pStyle w:val="Paragrafoelenco"/>
        <w:numPr>
          <w:ilvl w:val="0"/>
          <w:numId w:val="16"/>
        </w:numPr>
        <w:spacing w:after="160" w:line="480" w:lineRule="auto"/>
        <w:rPr>
          <w:rFonts w:ascii="Times New Roman" w:hAnsi="Times New Roman"/>
          <w:sz w:val="24"/>
          <w:szCs w:val="24"/>
        </w:rPr>
      </w:pPr>
      <w:r w:rsidRPr="00676023">
        <w:rPr>
          <w:rFonts w:ascii="Times New Roman" w:hAnsi="Times New Roman"/>
          <w:sz w:val="24"/>
          <w:szCs w:val="24"/>
        </w:rPr>
        <w:t>Non inizio io la terapia, ma la demando allo specialista di riferimento</w:t>
      </w:r>
    </w:p>
    <w:p w14:paraId="1A3FB0BA"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Che terapia iniziale utilizza nei suoi pazienti con AGC?</w:t>
      </w:r>
    </w:p>
    <w:p w14:paraId="186B811A" w14:textId="77777777" w:rsidR="001A08BD" w:rsidRPr="00676023" w:rsidRDefault="001A08BD" w:rsidP="004258B6">
      <w:pPr>
        <w:pStyle w:val="Paragrafoelenco"/>
        <w:numPr>
          <w:ilvl w:val="0"/>
          <w:numId w:val="17"/>
        </w:numPr>
        <w:spacing w:after="160" w:line="480" w:lineRule="auto"/>
        <w:rPr>
          <w:rFonts w:ascii="Times New Roman" w:hAnsi="Times New Roman"/>
          <w:sz w:val="24"/>
          <w:szCs w:val="24"/>
        </w:rPr>
      </w:pPr>
      <w:r w:rsidRPr="00676023">
        <w:rPr>
          <w:rFonts w:ascii="Times New Roman" w:hAnsi="Times New Roman"/>
          <w:sz w:val="24"/>
          <w:szCs w:val="24"/>
        </w:rPr>
        <w:t>Prednisone (o equivalente) &gt;50 mg/die</w:t>
      </w:r>
    </w:p>
    <w:p w14:paraId="6F447864" w14:textId="77777777" w:rsidR="001A08BD" w:rsidRPr="00676023" w:rsidRDefault="001A08BD" w:rsidP="004258B6">
      <w:pPr>
        <w:pStyle w:val="Paragrafoelenco"/>
        <w:numPr>
          <w:ilvl w:val="0"/>
          <w:numId w:val="17"/>
        </w:numPr>
        <w:spacing w:after="160" w:line="480" w:lineRule="auto"/>
        <w:rPr>
          <w:rFonts w:ascii="Times New Roman" w:hAnsi="Times New Roman"/>
          <w:sz w:val="24"/>
          <w:szCs w:val="24"/>
        </w:rPr>
      </w:pPr>
      <w:r w:rsidRPr="00676023">
        <w:rPr>
          <w:rFonts w:ascii="Times New Roman" w:hAnsi="Times New Roman"/>
          <w:sz w:val="24"/>
          <w:szCs w:val="24"/>
        </w:rPr>
        <w:t>Prednisone (o equivalente) 25-50 mg/die</w:t>
      </w:r>
    </w:p>
    <w:p w14:paraId="30CB8C24" w14:textId="77777777" w:rsidR="001A08BD" w:rsidRPr="00676023" w:rsidRDefault="001A08BD" w:rsidP="004258B6">
      <w:pPr>
        <w:pStyle w:val="Paragrafoelenco"/>
        <w:numPr>
          <w:ilvl w:val="0"/>
          <w:numId w:val="17"/>
        </w:numPr>
        <w:spacing w:after="160" w:line="480" w:lineRule="auto"/>
        <w:rPr>
          <w:rFonts w:ascii="Times New Roman" w:hAnsi="Times New Roman"/>
          <w:sz w:val="24"/>
          <w:szCs w:val="24"/>
        </w:rPr>
      </w:pPr>
      <w:r w:rsidRPr="00676023">
        <w:rPr>
          <w:rFonts w:ascii="Times New Roman" w:hAnsi="Times New Roman"/>
          <w:sz w:val="24"/>
          <w:szCs w:val="24"/>
        </w:rPr>
        <w:lastRenderedPageBreak/>
        <w:t>Prednisone (o equivalente) &lt;25 mg/die</w:t>
      </w:r>
    </w:p>
    <w:p w14:paraId="0BCC05A4" w14:textId="77777777" w:rsidR="001A08BD" w:rsidRPr="00676023" w:rsidRDefault="001A08BD" w:rsidP="004258B6">
      <w:pPr>
        <w:pStyle w:val="Paragrafoelenco"/>
        <w:numPr>
          <w:ilvl w:val="0"/>
          <w:numId w:val="17"/>
        </w:numPr>
        <w:spacing w:after="160" w:line="480" w:lineRule="auto"/>
        <w:rPr>
          <w:rFonts w:ascii="Times New Roman" w:hAnsi="Times New Roman"/>
          <w:sz w:val="24"/>
          <w:szCs w:val="24"/>
        </w:rPr>
      </w:pPr>
      <w:r w:rsidRPr="00676023">
        <w:rPr>
          <w:rFonts w:ascii="Times New Roman" w:hAnsi="Times New Roman"/>
          <w:sz w:val="24"/>
          <w:szCs w:val="24"/>
        </w:rPr>
        <w:t>Altro…</w:t>
      </w:r>
    </w:p>
    <w:p w14:paraId="2D011FC6"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Quanti sono i suoi assistiti?</w:t>
      </w:r>
    </w:p>
    <w:p w14:paraId="1F2CB571" w14:textId="77777777" w:rsidR="001A08BD" w:rsidRPr="00676023" w:rsidRDefault="001A08BD" w:rsidP="004258B6">
      <w:pPr>
        <w:pStyle w:val="Paragrafoelenco"/>
        <w:numPr>
          <w:ilvl w:val="0"/>
          <w:numId w:val="18"/>
        </w:numPr>
        <w:spacing w:after="160" w:line="480" w:lineRule="auto"/>
        <w:rPr>
          <w:rFonts w:ascii="Times New Roman" w:hAnsi="Times New Roman"/>
          <w:sz w:val="24"/>
          <w:szCs w:val="24"/>
        </w:rPr>
      </w:pPr>
      <w:r w:rsidRPr="00676023">
        <w:rPr>
          <w:rFonts w:ascii="Times New Roman" w:hAnsi="Times New Roman"/>
          <w:sz w:val="24"/>
          <w:szCs w:val="24"/>
        </w:rPr>
        <w:t>1-500 pazienti</w:t>
      </w:r>
    </w:p>
    <w:p w14:paraId="1139609C" w14:textId="77777777" w:rsidR="001A08BD" w:rsidRPr="00676023" w:rsidRDefault="001A08BD" w:rsidP="004258B6">
      <w:pPr>
        <w:pStyle w:val="Paragrafoelenco"/>
        <w:numPr>
          <w:ilvl w:val="0"/>
          <w:numId w:val="18"/>
        </w:numPr>
        <w:spacing w:after="160" w:line="480" w:lineRule="auto"/>
        <w:rPr>
          <w:rFonts w:ascii="Times New Roman" w:hAnsi="Times New Roman"/>
          <w:sz w:val="24"/>
          <w:szCs w:val="24"/>
        </w:rPr>
      </w:pPr>
      <w:r w:rsidRPr="00676023">
        <w:rPr>
          <w:rFonts w:ascii="Times New Roman" w:hAnsi="Times New Roman"/>
          <w:sz w:val="24"/>
          <w:szCs w:val="24"/>
        </w:rPr>
        <w:t>501-1000 pazienti</w:t>
      </w:r>
    </w:p>
    <w:p w14:paraId="613BE8C2" w14:textId="77777777" w:rsidR="001A08BD" w:rsidRPr="00676023" w:rsidRDefault="001A08BD" w:rsidP="004258B6">
      <w:pPr>
        <w:pStyle w:val="Paragrafoelenco"/>
        <w:numPr>
          <w:ilvl w:val="0"/>
          <w:numId w:val="18"/>
        </w:numPr>
        <w:spacing w:after="160" w:line="480" w:lineRule="auto"/>
        <w:rPr>
          <w:rFonts w:ascii="Times New Roman" w:hAnsi="Times New Roman"/>
          <w:sz w:val="24"/>
          <w:szCs w:val="24"/>
        </w:rPr>
      </w:pPr>
      <w:r w:rsidRPr="00676023">
        <w:rPr>
          <w:rFonts w:ascii="Times New Roman" w:hAnsi="Times New Roman"/>
          <w:sz w:val="24"/>
          <w:szCs w:val="24"/>
        </w:rPr>
        <w:t>&gt;1000 pazienti</w:t>
      </w:r>
    </w:p>
    <w:p w14:paraId="525D3B22" w14:textId="77777777" w:rsidR="001A08BD" w:rsidRPr="00676023" w:rsidRDefault="001A08BD" w:rsidP="004258B6">
      <w:pPr>
        <w:pStyle w:val="Paragrafoelenco"/>
        <w:numPr>
          <w:ilvl w:val="0"/>
          <w:numId w:val="7"/>
        </w:numPr>
        <w:spacing w:after="160" w:line="480" w:lineRule="auto"/>
        <w:rPr>
          <w:rFonts w:ascii="Times New Roman" w:hAnsi="Times New Roman"/>
          <w:sz w:val="24"/>
          <w:szCs w:val="24"/>
        </w:rPr>
      </w:pPr>
      <w:r w:rsidRPr="00676023">
        <w:rPr>
          <w:rFonts w:ascii="Times New Roman" w:hAnsi="Times New Roman"/>
          <w:sz w:val="24"/>
          <w:szCs w:val="24"/>
        </w:rPr>
        <w:t>Da quanti anni esercita come MMG?</w:t>
      </w:r>
    </w:p>
    <w:p w14:paraId="5DB26D54" w14:textId="77777777" w:rsidR="001A08BD" w:rsidRPr="00676023" w:rsidRDefault="001A08BD" w:rsidP="004258B6">
      <w:pPr>
        <w:pStyle w:val="Paragrafoelenco"/>
        <w:numPr>
          <w:ilvl w:val="0"/>
          <w:numId w:val="19"/>
        </w:numPr>
        <w:spacing w:after="160" w:line="480" w:lineRule="auto"/>
        <w:rPr>
          <w:rFonts w:ascii="Times New Roman" w:hAnsi="Times New Roman"/>
          <w:sz w:val="24"/>
          <w:szCs w:val="24"/>
        </w:rPr>
      </w:pPr>
      <w:r w:rsidRPr="00676023">
        <w:rPr>
          <w:rFonts w:ascii="Times New Roman" w:hAnsi="Times New Roman"/>
          <w:sz w:val="24"/>
          <w:szCs w:val="24"/>
        </w:rPr>
        <w:t>0-10 anni</w:t>
      </w:r>
    </w:p>
    <w:p w14:paraId="21191186" w14:textId="77777777" w:rsidR="001A08BD" w:rsidRPr="00676023" w:rsidRDefault="001A08BD" w:rsidP="004258B6">
      <w:pPr>
        <w:pStyle w:val="Paragrafoelenco"/>
        <w:numPr>
          <w:ilvl w:val="0"/>
          <w:numId w:val="19"/>
        </w:numPr>
        <w:spacing w:after="160" w:line="480" w:lineRule="auto"/>
        <w:rPr>
          <w:rFonts w:ascii="Times New Roman" w:hAnsi="Times New Roman"/>
          <w:sz w:val="24"/>
          <w:szCs w:val="24"/>
        </w:rPr>
      </w:pPr>
      <w:r w:rsidRPr="00676023">
        <w:rPr>
          <w:rFonts w:ascii="Times New Roman" w:hAnsi="Times New Roman"/>
          <w:sz w:val="24"/>
          <w:szCs w:val="24"/>
        </w:rPr>
        <w:t>11-20 anni</w:t>
      </w:r>
    </w:p>
    <w:p w14:paraId="59C20BA2" w14:textId="77777777" w:rsidR="001A08BD" w:rsidRPr="00676023" w:rsidRDefault="001A08BD" w:rsidP="004258B6">
      <w:pPr>
        <w:pStyle w:val="Paragrafoelenco"/>
        <w:numPr>
          <w:ilvl w:val="0"/>
          <w:numId w:val="19"/>
        </w:numPr>
        <w:spacing w:after="160" w:line="480" w:lineRule="auto"/>
        <w:rPr>
          <w:rFonts w:ascii="Times New Roman" w:hAnsi="Times New Roman"/>
          <w:sz w:val="24"/>
          <w:szCs w:val="24"/>
        </w:rPr>
      </w:pPr>
      <w:r w:rsidRPr="00676023">
        <w:rPr>
          <w:rFonts w:ascii="Times New Roman" w:hAnsi="Times New Roman"/>
          <w:sz w:val="24"/>
          <w:szCs w:val="24"/>
        </w:rPr>
        <w:t>21-30 anni</w:t>
      </w:r>
    </w:p>
    <w:p w14:paraId="04452A69" w14:textId="77777777" w:rsidR="001A08BD" w:rsidRPr="00676023" w:rsidRDefault="001A08BD" w:rsidP="004258B6">
      <w:pPr>
        <w:pStyle w:val="Paragrafoelenco"/>
        <w:numPr>
          <w:ilvl w:val="0"/>
          <w:numId w:val="19"/>
        </w:numPr>
        <w:spacing w:after="160" w:line="480" w:lineRule="auto"/>
        <w:rPr>
          <w:rFonts w:ascii="Times New Roman" w:hAnsi="Times New Roman"/>
          <w:sz w:val="24"/>
          <w:szCs w:val="24"/>
        </w:rPr>
      </w:pPr>
      <w:r w:rsidRPr="00676023">
        <w:rPr>
          <w:rFonts w:ascii="Times New Roman" w:hAnsi="Times New Roman"/>
          <w:sz w:val="24"/>
          <w:szCs w:val="24"/>
        </w:rPr>
        <w:t>Più di 30 anni</w:t>
      </w:r>
    </w:p>
    <w:p w14:paraId="6C78A87A" w14:textId="77777777" w:rsidR="001A08BD" w:rsidRPr="00676023" w:rsidRDefault="001A08BD" w:rsidP="004258B6">
      <w:pPr>
        <w:pStyle w:val="Paragrafoelenco"/>
        <w:spacing w:line="480" w:lineRule="auto"/>
        <w:ind w:left="0"/>
        <w:rPr>
          <w:rFonts w:ascii="Times New Roman" w:hAnsi="Times New Roman"/>
          <w:sz w:val="24"/>
          <w:szCs w:val="24"/>
        </w:rPr>
      </w:pPr>
    </w:p>
    <w:p w14:paraId="6BE44235" w14:textId="77777777" w:rsidR="001A08BD" w:rsidRPr="00676023" w:rsidRDefault="001A08BD" w:rsidP="004258B6">
      <w:pPr>
        <w:pStyle w:val="Paragrafoelenco"/>
        <w:spacing w:line="480" w:lineRule="auto"/>
        <w:ind w:left="0"/>
        <w:rPr>
          <w:rFonts w:ascii="Times New Roman" w:hAnsi="Times New Roman"/>
          <w:sz w:val="24"/>
          <w:szCs w:val="24"/>
        </w:rPr>
      </w:pPr>
      <w:r w:rsidRPr="00676023">
        <w:rPr>
          <w:rFonts w:ascii="Times New Roman" w:hAnsi="Times New Roman"/>
          <w:sz w:val="24"/>
          <w:szCs w:val="24"/>
        </w:rPr>
        <w:t xml:space="preserve">La scelta della metodica e la struttura del questionario sono state dettate dal ragionamento riguardo i diversi obiettivi e </w:t>
      </w:r>
      <w:r w:rsidR="0079221E" w:rsidRPr="00676023">
        <w:rPr>
          <w:rFonts w:ascii="Times New Roman" w:hAnsi="Times New Roman"/>
          <w:sz w:val="24"/>
          <w:szCs w:val="24"/>
        </w:rPr>
        <w:t>dal</w:t>
      </w:r>
      <w:r w:rsidRPr="00676023">
        <w:rPr>
          <w:rFonts w:ascii="Times New Roman" w:hAnsi="Times New Roman"/>
          <w:sz w:val="24"/>
          <w:szCs w:val="24"/>
        </w:rPr>
        <w:t>la fattibilità pratica:</w:t>
      </w:r>
    </w:p>
    <w:p w14:paraId="2ECCEF0E" w14:textId="77777777" w:rsidR="001A08BD" w:rsidRPr="00676023" w:rsidRDefault="001A08BD" w:rsidP="004258B6">
      <w:pPr>
        <w:pStyle w:val="Paragrafoelenco"/>
        <w:numPr>
          <w:ilvl w:val="0"/>
          <w:numId w:val="6"/>
        </w:numPr>
        <w:spacing w:after="160" w:line="480" w:lineRule="auto"/>
        <w:rPr>
          <w:rFonts w:ascii="Times New Roman" w:hAnsi="Times New Roman"/>
          <w:sz w:val="24"/>
          <w:szCs w:val="24"/>
        </w:rPr>
      </w:pPr>
      <w:r w:rsidRPr="00676023">
        <w:rPr>
          <w:rFonts w:ascii="Times New Roman" w:hAnsi="Times New Roman"/>
          <w:sz w:val="24"/>
          <w:szCs w:val="24"/>
        </w:rPr>
        <w:t>Incoraggiare la partecipazione all’indagine per ottenere tassi di risposta più alti (carico di domande non eccessivo per l’intervistato)</w:t>
      </w:r>
    </w:p>
    <w:p w14:paraId="06FBB30C" w14:textId="77777777" w:rsidR="001A08BD" w:rsidRPr="00676023" w:rsidRDefault="001A08BD" w:rsidP="004258B6">
      <w:pPr>
        <w:pStyle w:val="Paragrafoelenco"/>
        <w:numPr>
          <w:ilvl w:val="0"/>
          <w:numId w:val="6"/>
        </w:numPr>
        <w:spacing w:after="160" w:line="480" w:lineRule="auto"/>
        <w:rPr>
          <w:rFonts w:ascii="Times New Roman" w:hAnsi="Times New Roman"/>
          <w:sz w:val="24"/>
          <w:szCs w:val="24"/>
        </w:rPr>
      </w:pPr>
      <w:r w:rsidRPr="00676023">
        <w:rPr>
          <w:rFonts w:ascii="Times New Roman" w:hAnsi="Times New Roman"/>
          <w:sz w:val="24"/>
          <w:szCs w:val="24"/>
        </w:rPr>
        <w:t xml:space="preserve">Buona qualità dei dati </w:t>
      </w:r>
    </w:p>
    <w:p w14:paraId="0110875D" w14:textId="77777777" w:rsidR="001A08BD" w:rsidRPr="00676023" w:rsidRDefault="001A08BD" w:rsidP="004258B6">
      <w:pPr>
        <w:pStyle w:val="Paragrafoelenco"/>
        <w:numPr>
          <w:ilvl w:val="0"/>
          <w:numId w:val="6"/>
        </w:numPr>
        <w:spacing w:after="160" w:line="480" w:lineRule="auto"/>
        <w:rPr>
          <w:rFonts w:ascii="Times New Roman" w:hAnsi="Times New Roman"/>
          <w:sz w:val="24"/>
          <w:szCs w:val="24"/>
        </w:rPr>
      </w:pPr>
      <w:r w:rsidRPr="00676023">
        <w:rPr>
          <w:rFonts w:ascii="Times New Roman" w:hAnsi="Times New Roman"/>
          <w:sz w:val="24"/>
          <w:szCs w:val="24"/>
        </w:rPr>
        <w:t>Orizzonte temporale entro la quale la rilevazione deve essere effettuata</w:t>
      </w:r>
    </w:p>
    <w:p w14:paraId="7225B082" w14:textId="77777777" w:rsidR="001A08BD" w:rsidRPr="00676023" w:rsidRDefault="001A08BD" w:rsidP="004258B6">
      <w:pPr>
        <w:pStyle w:val="Paragrafoelenco"/>
        <w:numPr>
          <w:ilvl w:val="0"/>
          <w:numId w:val="6"/>
        </w:numPr>
        <w:spacing w:after="160" w:line="480" w:lineRule="auto"/>
        <w:rPr>
          <w:rFonts w:ascii="Times New Roman" w:hAnsi="Times New Roman"/>
          <w:sz w:val="24"/>
          <w:szCs w:val="24"/>
        </w:rPr>
      </w:pPr>
      <w:r w:rsidRPr="00676023">
        <w:rPr>
          <w:rFonts w:ascii="Times New Roman" w:hAnsi="Times New Roman"/>
          <w:sz w:val="24"/>
          <w:szCs w:val="24"/>
        </w:rPr>
        <w:t xml:space="preserve">Risorse economiche a disposizione </w:t>
      </w:r>
    </w:p>
    <w:p w14:paraId="2AF14E22" w14:textId="77777777" w:rsidR="005A6840" w:rsidRPr="00676023" w:rsidRDefault="001A08BD" w:rsidP="005A6840">
      <w:pPr>
        <w:spacing w:line="480" w:lineRule="auto"/>
        <w:rPr>
          <w:rFonts w:ascii="Times New Roman" w:hAnsi="Times New Roman" w:cs="Times New Roman"/>
          <w:sz w:val="24"/>
          <w:szCs w:val="24"/>
        </w:rPr>
      </w:pPr>
      <w:r w:rsidRPr="00676023">
        <w:rPr>
          <w:rFonts w:ascii="Times New Roman" w:hAnsi="Times New Roman" w:cs="Times New Roman"/>
          <w:sz w:val="24"/>
          <w:szCs w:val="24"/>
        </w:rPr>
        <w:t xml:space="preserve">Il principale limite della metodica scelta è stato, come atteso, il ridotto numero di risposte. In un’indagine tramite questionario infatti la percentuale di risposte attese è inferiore al 30-40% e mediamente intorno al 1-5%. In questo caso 76 risposte sulle 775 totale, corrispondenti al 9,8% della popolazione indagata, sono un numero sufficientemente rappresentativo della popolazione di MMG genovesi </w:t>
      </w:r>
      <w:r w:rsidRPr="00676023">
        <w:rPr>
          <w:rFonts w:ascii="Times New Roman" w:hAnsi="Times New Roman" w:cs="Times New Roman"/>
          <w:sz w:val="24"/>
          <w:szCs w:val="24"/>
        </w:rPr>
        <w:lastRenderedPageBreak/>
        <w:t xml:space="preserve">sul quale poter impostare un ragionamento in merito alle sensibilità nei confronti di questa </w:t>
      </w:r>
      <w:r w:rsidR="005F27B7" w:rsidRPr="00676023">
        <w:rPr>
          <w:rFonts w:ascii="Times New Roman" w:hAnsi="Times New Roman" w:cs="Times New Roman"/>
          <w:sz w:val="24"/>
          <w:szCs w:val="24"/>
        </w:rPr>
        <w:t>malattia</w:t>
      </w:r>
      <w:r w:rsidRPr="00676023">
        <w:rPr>
          <w:rFonts w:ascii="Times New Roman" w:hAnsi="Times New Roman" w:cs="Times New Roman"/>
          <w:sz w:val="24"/>
          <w:szCs w:val="24"/>
        </w:rPr>
        <w:t>.</w:t>
      </w:r>
    </w:p>
    <w:p w14:paraId="064F4ABE" w14:textId="77777777" w:rsidR="005F27B7" w:rsidRPr="00F555AD" w:rsidRDefault="005F27B7" w:rsidP="005A6840">
      <w:pPr>
        <w:spacing w:line="480" w:lineRule="auto"/>
        <w:rPr>
          <w:rFonts w:ascii="Times New Roman" w:hAnsi="Times New Roman" w:cs="Times New Roman"/>
        </w:rPr>
      </w:pPr>
    </w:p>
    <w:p w14:paraId="2AF30D14" w14:textId="77777777" w:rsidR="0053661A" w:rsidRPr="005F27B7" w:rsidRDefault="00994B5F" w:rsidP="005F27B7">
      <w:pPr>
        <w:pStyle w:val="Paragrafoelenco"/>
        <w:numPr>
          <w:ilvl w:val="1"/>
          <w:numId w:val="50"/>
        </w:numPr>
        <w:spacing w:after="160" w:line="360" w:lineRule="auto"/>
        <w:outlineLvl w:val="1"/>
        <w:rPr>
          <w:rFonts w:ascii="Times New Roman" w:hAnsi="Times New Roman"/>
          <w:b/>
          <w:sz w:val="28"/>
          <w:szCs w:val="28"/>
        </w:rPr>
      </w:pPr>
      <w:bookmarkStart w:id="14" w:name="_Toc12908078"/>
      <w:r>
        <w:rPr>
          <w:rFonts w:ascii="Times New Roman" w:hAnsi="Times New Roman"/>
          <w:b/>
          <w:sz w:val="28"/>
          <w:szCs w:val="28"/>
        </w:rPr>
        <w:t>I risultati</w:t>
      </w:r>
      <w:bookmarkEnd w:id="14"/>
    </w:p>
    <w:p w14:paraId="494978A1" w14:textId="77777777" w:rsidR="00380EDB" w:rsidRDefault="001A08BD" w:rsidP="004258B6">
      <w:pPr>
        <w:spacing w:after="0" w:line="480" w:lineRule="auto"/>
        <w:rPr>
          <w:rFonts w:ascii="Times New Roman" w:hAnsi="Times New Roman" w:cs="Times New Roman"/>
          <w:sz w:val="24"/>
          <w:szCs w:val="24"/>
        </w:rPr>
      </w:pPr>
      <w:r w:rsidRPr="00F555AD">
        <w:rPr>
          <w:rFonts w:ascii="Times New Roman" w:hAnsi="Times New Roman" w:cs="Times New Roman"/>
          <w:sz w:val="24"/>
          <w:szCs w:val="24"/>
        </w:rPr>
        <w:t>Hanno risposto al questionario 76 medici di medicina generale (MMG) su 775 (9,8%). I questionari completati per intero erano 64/76 (84,21%); per i restanti 12 non è stata data risposta da 1 a 11 delle 12 domande. Pertanto, la percentuale dei risultati ottenuti è stata calcolata sul numero totale di rispondenti ad ogni domanda.</w:t>
      </w:r>
      <w:r w:rsidR="00380EDB" w:rsidRPr="00380EDB">
        <w:rPr>
          <w:rFonts w:ascii="Times New Roman" w:hAnsi="Times New Roman" w:cs="Times New Roman"/>
          <w:sz w:val="24"/>
          <w:szCs w:val="24"/>
        </w:rPr>
        <w:t xml:space="preserve"> </w:t>
      </w:r>
    </w:p>
    <w:p w14:paraId="22A59374" w14:textId="77777777" w:rsidR="00380EDB" w:rsidRDefault="00380EDB" w:rsidP="004258B6">
      <w:pPr>
        <w:spacing w:after="0" w:line="480" w:lineRule="auto"/>
        <w:rPr>
          <w:rFonts w:ascii="Times New Roman" w:hAnsi="Times New Roman" w:cs="Times New Roman"/>
          <w:sz w:val="24"/>
          <w:szCs w:val="24"/>
        </w:rPr>
      </w:pPr>
    </w:p>
    <w:p w14:paraId="0DA8A931" w14:textId="2AB5E827" w:rsidR="00380EDB" w:rsidRDefault="00380EDB" w:rsidP="007B5917">
      <w:pPr>
        <w:spacing w:after="0" w:line="480" w:lineRule="auto"/>
        <w:rPr>
          <w:rFonts w:ascii="Times New Roman" w:hAnsi="Times New Roman" w:cs="Times New Roman"/>
          <w:sz w:val="24"/>
          <w:szCs w:val="24"/>
        </w:rPr>
      </w:pPr>
      <w:r w:rsidRPr="00F555AD">
        <w:rPr>
          <w:rFonts w:ascii="Times New Roman" w:hAnsi="Times New Roman" w:cs="Times New Roman"/>
          <w:sz w:val="24"/>
          <w:szCs w:val="24"/>
        </w:rPr>
        <w:t>L’anzianità come MMG era compresa tra 1 e 10 anni per 7/73 (9,6%) MMG, tra 11 e 20 anni per 7 (9,6%), tra 21 e 30 anni per 26 (35,6%), e maggiore di 30 anni per 33 (45,2</w:t>
      </w:r>
      <w:r w:rsidRPr="00387A46">
        <w:rPr>
          <w:rFonts w:ascii="Times New Roman" w:hAnsi="Times New Roman" w:cs="Times New Roman"/>
          <w:sz w:val="24"/>
          <w:szCs w:val="24"/>
        </w:rPr>
        <w:t>%)</w:t>
      </w:r>
      <w:r w:rsidR="007B5917">
        <w:rPr>
          <w:rFonts w:ascii="Times New Roman" w:hAnsi="Times New Roman" w:cs="Times New Roman"/>
          <w:sz w:val="24"/>
          <w:szCs w:val="24"/>
        </w:rPr>
        <w:t xml:space="preserve"> </w:t>
      </w:r>
      <w:r w:rsidR="007B5917" w:rsidRPr="00387A46">
        <w:rPr>
          <w:rFonts w:ascii="Times New Roman" w:hAnsi="Times New Roman" w:cs="Times New Roman"/>
          <w:sz w:val="24"/>
          <w:szCs w:val="24"/>
        </w:rPr>
        <w:t>(Figura 8).</w:t>
      </w:r>
      <w:r w:rsidR="005F27B7" w:rsidRPr="00F555AD">
        <w:rPr>
          <w:rFonts w:ascii="Times New Roman" w:hAnsi="Times New Roman" w:cs="Times New Roman"/>
          <w:noProof/>
          <w:lang w:eastAsia="it-IT"/>
        </w:rPr>
        <w:drawing>
          <wp:inline distT="0" distB="0" distL="0" distR="0" wp14:anchorId="7206EDA6" wp14:editId="4F94CD02">
            <wp:extent cx="4918075" cy="2798618"/>
            <wp:effectExtent l="0" t="0" r="0" b="0"/>
            <wp:docPr id="1" name="Gra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03D960-915A-44D5-8757-F7AE869D5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87A46">
        <w:rPr>
          <w:rFonts w:ascii="Times New Roman" w:hAnsi="Times New Roman" w:cs="Times New Roman"/>
          <w:sz w:val="24"/>
          <w:szCs w:val="24"/>
        </w:rPr>
        <w:t xml:space="preserve"> </w:t>
      </w:r>
    </w:p>
    <w:p w14:paraId="0F30085F" w14:textId="1A89B346" w:rsidR="00AE6F3E" w:rsidRPr="00676023" w:rsidRDefault="00380EDB" w:rsidP="007B5917">
      <w:pPr>
        <w:spacing w:after="0" w:line="360" w:lineRule="auto"/>
        <w:ind w:right="5046"/>
        <w:rPr>
          <w:rFonts w:ascii="Times New Roman" w:hAnsi="Times New Roman" w:cs="Times New Roman"/>
          <w:b/>
          <w:sz w:val="20"/>
          <w:szCs w:val="20"/>
        </w:rPr>
      </w:pPr>
      <w:r w:rsidRPr="00676023">
        <w:rPr>
          <w:rFonts w:ascii="Times New Roman" w:hAnsi="Times New Roman" w:cs="Times New Roman"/>
          <w:b/>
          <w:sz w:val="20"/>
          <w:szCs w:val="20"/>
        </w:rPr>
        <w:t xml:space="preserve">Figura </w:t>
      </w:r>
      <w:r w:rsidR="003E0D5F" w:rsidRPr="00676023">
        <w:rPr>
          <w:rFonts w:ascii="Times New Roman" w:hAnsi="Times New Roman" w:cs="Times New Roman"/>
          <w:b/>
          <w:sz w:val="20"/>
          <w:szCs w:val="20"/>
        </w:rPr>
        <w:t>8</w:t>
      </w:r>
      <w:r w:rsidRPr="00676023">
        <w:rPr>
          <w:rFonts w:ascii="Times New Roman" w:hAnsi="Times New Roman" w:cs="Times New Roman"/>
          <w:b/>
          <w:sz w:val="20"/>
          <w:szCs w:val="20"/>
        </w:rPr>
        <w:t xml:space="preserve">. </w:t>
      </w:r>
      <w:r w:rsidRPr="00676023">
        <w:rPr>
          <w:rFonts w:ascii="Times New Roman" w:hAnsi="Times New Roman" w:cs="Times New Roman"/>
          <w:sz w:val="20"/>
          <w:szCs w:val="20"/>
        </w:rPr>
        <w:t>Anni di attività</w:t>
      </w:r>
      <w:r w:rsidR="0053661A" w:rsidRPr="00676023">
        <w:rPr>
          <w:rFonts w:ascii="Times New Roman" w:hAnsi="Times New Roman" w:cs="Times New Roman"/>
          <w:color w:val="FF0000"/>
          <w:sz w:val="20"/>
          <w:szCs w:val="20"/>
        </w:rPr>
        <w:t xml:space="preserve"> </w:t>
      </w:r>
      <w:r w:rsidRPr="00676023">
        <w:rPr>
          <w:rFonts w:ascii="Times New Roman" w:hAnsi="Times New Roman" w:cs="Times New Roman"/>
          <w:color w:val="FF0000"/>
          <w:sz w:val="20"/>
          <w:szCs w:val="20"/>
        </w:rPr>
        <w:t xml:space="preserve"> </w:t>
      </w:r>
    </w:p>
    <w:p w14:paraId="40BDD4C4" w14:textId="77777777" w:rsidR="00380EDB" w:rsidRPr="00F555AD" w:rsidRDefault="00380EDB" w:rsidP="004258B6">
      <w:pPr>
        <w:spacing w:after="0" w:line="480" w:lineRule="auto"/>
        <w:rPr>
          <w:rFonts w:ascii="Times New Roman" w:hAnsi="Times New Roman" w:cs="Times New Roman"/>
          <w:sz w:val="24"/>
          <w:szCs w:val="24"/>
        </w:rPr>
      </w:pPr>
      <w:bookmarkStart w:id="15" w:name="_Hlk11827112"/>
      <w:r w:rsidRPr="00F555AD">
        <w:rPr>
          <w:rFonts w:ascii="Times New Roman" w:hAnsi="Times New Roman" w:cs="Times New Roman"/>
          <w:sz w:val="24"/>
          <w:szCs w:val="24"/>
        </w:rPr>
        <w:lastRenderedPageBreak/>
        <w:t>Diciassette/72 (23,6%) MMG avevano meno di 501 assistiti, 8 (11,1%) da 501 a 1000 assistiti, e 47 (65,3%) più di 1000 assistiti</w:t>
      </w:r>
      <w:r>
        <w:rPr>
          <w:rFonts w:ascii="Times New Roman" w:hAnsi="Times New Roman" w:cs="Times New Roman"/>
          <w:sz w:val="24"/>
          <w:szCs w:val="24"/>
        </w:rPr>
        <w:t xml:space="preserve"> </w:t>
      </w:r>
      <w:bookmarkEnd w:id="15"/>
      <w:r w:rsidRPr="00387A46">
        <w:rPr>
          <w:rFonts w:ascii="Times New Roman" w:hAnsi="Times New Roman" w:cs="Times New Roman"/>
          <w:sz w:val="24"/>
          <w:szCs w:val="24"/>
        </w:rPr>
        <w:t xml:space="preserve">(Figura </w:t>
      </w:r>
      <w:r w:rsidR="003E0D5F" w:rsidRPr="00387A46">
        <w:rPr>
          <w:rFonts w:ascii="Times New Roman" w:hAnsi="Times New Roman" w:cs="Times New Roman"/>
          <w:sz w:val="24"/>
          <w:szCs w:val="24"/>
        </w:rPr>
        <w:t>9</w:t>
      </w:r>
      <w:r w:rsidRPr="00387A46">
        <w:rPr>
          <w:rFonts w:ascii="Times New Roman" w:hAnsi="Times New Roman" w:cs="Times New Roman"/>
          <w:sz w:val="24"/>
          <w:szCs w:val="24"/>
        </w:rPr>
        <w:t>)</w:t>
      </w:r>
      <w:r w:rsidR="00AE6F3E" w:rsidRPr="00387A46">
        <w:rPr>
          <w:rFonts w:ascii="Times New Roman" w:hAnsi="Times New Roman" w:cs="Times New Roman"/>
          <w:sz w:val="24"/>
          <w:szCs w:val="24"/>
        </w:rPr>
        <w:t>.</w:t>
      </w:r>
    </w:p>
    <w:p w14:paraId="4D983C24" w14:textId="77777777" w:rsidR="001A08BD" w:rsidRPr="00F555AD" w:rsidRDefault="001A08BD" w:rsidP="009464C3">
      <w:pPr>
        <w:spacing w:after="0" w:line="360" w:lineRule="auto"/>
        <w:rPr>
          <w:rFonts w:ascii="Times New Roman" w:hAnsi="Times New Roman" w:cs="Times New Roman"/>
          <w:sz w:val="24"/>
          <w:szCs w:val="24"/>
        </w:rPr>
      </w:pPr>
    </w:p>
    <w:p w14:paraId="64482238" w14:textId="77777777" w:rsidR="00380EDB" w:rsidRDefault="00380EDB" w:rsidP="009464C3">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34151711" wp14:editId="2822AA17">
            <wp:extent cx="4991100" cy="2506980"/>
            <wp:effectExtent l="0" t="0" r="0" b="0"/>
            <wp:docPr id="5" name="Grafico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6B9E0-F44F-4DA2-B396-EBB0579E0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sz w:val="24"/>
          <w:szCs w:val="24"/>
        </w:rPr>
        <w:t xml:space="preserve"> </w:t>
      </w:r>
    </w:p>
    <w:p w14:paraId="3E55A2D3" w14:textId="77777777" w:rsidR="001A08BD" w:rsidRPr="00676023" w:rsidRDefault="00380EDB" w:rsidP="009464C3">
      <w:pPr>
        <w:spacing w:after="0" w:line="360" w:lineRule="auto"/>
        <w:rPr>
          <w:rFonts w:ascii="Times New Roman" w:hAnsi="Times New Roman" w:cs="Times New Roman"/>
          <w:sz w:val="20"/>
          <w:szCs w:val="20"/>
        </w:rPr>
      </w:pPr>
      <w:r w:rsidRPr="00676023">
        <w:rPr>
          <w:rFonts w:ascii="Times New Roman" w:hAnsi="Times New Roman" w:cs="Times New Roman"/>
          <w:b/>
          <w:sz w:val="20"/>
          <w:szCs w:val="20"/>
        </w:rPr>
        <w:t xml:space="preserve">Figura </w:t>
      </w:r>
      <w:r w:rsidR="003E0D5F" w:rsidRPr="00676023">
        <w:rPr>
          <w:rFonts w:ascii="Times New Roman" w:hAnsi="Times New Roman" w:cs="Times New Roman"/>
          <w:b/>
          <w:sz w:val="20"/>
          <w:szCs w:val="20"/>
        </w:rPr>
        <w:t>9</w:t>
      </w:r>
      <w:r w:rsidRPr="00676023">
        <w:rPr>
          <w:rFonts w:ascii="Times New Roman" w:hAnsi="Times New Roman" w:cs="Times New Roman"/>
          <w:sz w:val="20"/>
          <w:szCs w:val="20"/>
        </w:rPr>
        <w:t>. Numero di assistiti</w:t>
      </w:r>
    </w:p>
    <w:p w14:paraId="76544261" w14:textId="77777777" w:rsidR="00AE6F3E" w:rsidRDefault="00AE6F3E" w:rsidP="00380EDB">
      <w:pPr>
        <w:spacing w:after="0" w:line="360" w:lineRule="auto"/>
        <w:rPr>
          <w:rFonts w:ascii="Times New Roman" w:hAnsi="Times New Roman" w:cs="Times New Roman"/>
          <w:sz w:val="24"/>
          <w:szCs w:val="24"/>
        </w:rPr>
      </w:pPr>
    </w:p>
    <w:p w14:paraId="19837941" w14:textId="77777777" w:rsidR="00AE6F3E" w:rsidRDefault="00AE6F3E" w:rsidP="00380EDB">
      <w:pPr>
        <w:spacing w:after="0" w:line="360" w:lineRule="auto"/>
        <w:rPr>
          <w:rFonts w:ascii="Times New Roman" w:hAnsi="Times New Roman" w:cs="Times New Roman"/>
          <w:sz w:val="24"/>
          <w:szCs w:val="24"/>
        </w:rPr>
      </w:pPr>
    </w:p>
    <w:p w14:paraId="63CF6962" w14:textId="77777777" w:rsidR="00380EDB" w:rsidRDefault="00380EDB" w:rsidP="004258B6">
      <w:pPr>
        <w:spacing w:after="0" w:line="480" w:lineRule="auto"/>
        <w:rPr>
          <w:rFonts w:ascii="Times New Roman" w:hAnsi="Times New Roman" w:cs="Times New Roman"/>
          <w:sz w:val="24"/>
          <w:szCs w:val="24"/>
        </w:rPr>
      </w:pPr>
      <w:bookmarkStart w:id="16" w:name="_Hlk11827550"/>
      <w:r w:rsidRPr="00F555AD">
        <w:rPr>
          <w:rFonts w:ascii="Times New Roman" w:hAnsi="Times New Roman" w:cs="Times New Roman"/>
          <w:sz w:val="24"/>
          <w:szCs w:val="24"/>
        </w:rPr>
        <w:t>Trentatre/75 (44%) MMG ha risposto che la AGC non è tra le malattie che incontra nella sua pratica clinica mentre i restanti 42 (56%) ha dichiarato di vederne da 1 a 2 pazienti/</w:t>
      </w:r>
      <w:r w:rsidRPr="00387A46">
        <w:rPr>
          <w:rFonts w:ascii="Times New Roman" w:hAnsi="Times New Roman" w:cs="Times New Roman"/>
          <w:sz w:val="24"/>
          <w:szCs w:val="24"/>
        </w:rPr>
        <w:t xml:space="preserve">anno </w:t>
      </w:r>
      <w:bookmarkEnd w:id="16"/>
      <w:r w:rsidRPr="00387A46">
        <w:rPr>
          <w:rFonts w:ascii="Times New Roman" w:hAnsi="Times New Roman" w:cs="Times New Roman"/>
          <w:sz w:val="24"/>
          <w:szCs w:val="24"/>
        </w:rPr>
        <w:t xml:space="preserve">(Figura </w:t>
      </w:r>
      <w:r w:rsidR="003E0D5F" w:rsidRPr="00387A46">
        <w:rPr>
          <w:rFonts w:ascii="Times New Roman" w:hAnsi="Times New Roman" w:cs="Times New Roman"/>
          <w:sz w:val="24"/>
          <w:szCs w:val="24"/>
        </w:rPr>
        <w:t>10</w:t>
      </w:r>
      <w:r w:rsidRPr="00387A46">
        <w:rPr>
          <w:rFonts w:ascii="Times New Roman" w:hAnsi="Times New Roman" w:cs="Times New Roman"/>
          <w:sz w:val="24"/>
          <w:szCs w:val="24"/>
        </w:rPr>
        <w:t>)</w:t>
      </w:r>
      <w:r w:rsidR="00AE6F3E" w:rsidRPr="00387A46">
        <w:rPr>
          <w:rFonts w:ascii="Times New Roman" w:hAnsi="Times New Roman" w:cs="Times New Roman"/>
          <w:sz w:val="24"/>
          <w:szCs w:val="24"/>
        </w:rPr>
        <w:t>.</w:t>
      </w:r>
    </w:p>
    <w:p w14:paraId="270ACC57" w14:textId="77777777" w:rsidR="001A08BD" w:rsidRPr="00F555AD" w:rsidRDefault="001A08BD" w:rsidP="009464C3">
      <w:pPr>
        <w:spacing w:after="0" w:line="360" w:lineRule="auto"/>
        <w:rPr>
          <w:rFonts w:ascii="Times New Roman" w:hAnsi="Times New Roman" w:cs="Times New Roman"/>
          <w:sz w:val="24"/>
          <w:szCs w:val="24"/>
        </w:rPr>
      </w:pPr>
    </w:p>
    <w:p w14:paraId="644DE31F" w14:textId="77777777" w:rsidR="001A08BD" w:rsidRDefault="001A08BD" w:rsidP="009464C3">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54E3EFB3" wp14:editId="476F7A79">
            <wp:extent cx="4434840" cy="2583180"/>
            <wp:effectExtent l="0" t="0" r="0" b="0"/>
            <wp:docPr id="7" name="Grafico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4BB581-293E-47D1-A648-56CC8470B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0EFAF9" w14:textId="77777777" w:rsidR="00380EDB" w:rsidRPr="00676023" w:rsidRDefault="00380EDB" w:rsidP="009464C3">
      <w:pPr>
        <w:spacing w:after="0" w:line="360" w:lineRule="auto"/>
        <w:rPr>
          <w:rFonts w:ascii="Times New Roman" w:hAnsi="Times New Roman" w:cs="Times New Roman"/>
          <w:sz w:val="20"/>
          <w:szCs w:val="20"/>
        </w:rPr>
      </w:pPr>
      <w:r w:rsidRPr="00676023">
        <w:rPr>
          <w:rFonts w:ascii="Times New Roman" w:hAnsi="Times New Roman" w:cs="Times New Roman"/>
          <w:b/>
          <w:sz w:val="20"/>
          <w:szCs w:val="20"/>
        </w:rPr>
        <w:t xml:space="preserve">Figura </w:t>
      </w:r>
      <w:r w:rsidR="003E0D5F" w:rsidRPr="00676023">
        <w:rPr>
          <w:rFonts w:ascii="Times New Roman" w:hAnsi="Times New Roman" w:cs="Times New Roman"/>
          <w:b/>
          <w:sz w:val="20"/>
          <w:szCs w:val="20"/>
        </w:rPr>
        <w:t>10</w:t>
      </w:r>
      <w:r w:rsidRPr="00676023">
        <w:rPr>
          <w:rFonts w:ascii="Times New Roman" w:hAnsi="Times New Roman" w:cs="Times New Roman"/>
          <w:b/>
          <w:sz w:val="20"/>
          <w:szCs w:val="20"/>
        </w:rPr>
        <w:t>.</w:t>
      </w:r>
      <w:r w:rsidRPr="00676023">
        <w:rPr>
          <w:rFonts w:ascii="Times New Roman" w:hAnsi="Times New Roman" w:cs="Times New Roman"/>
          <w:sz w:val="20"/>
          <w:szCs w:val="20"/>
        </w:rPr>
        <w:t xml:space="preserve"> Pazienti con AGC all’anno incontrati dagli MMG</w:t>
      </w:r>
    </w:p>
    <w:p w14:paraId="28BEECB6" w14:textId="77777777" w:rsidR="001A08BD" w:rsidRDefault="001A08BD" w:rsidP="009464C3">
      <w:pPr>
        <w:spacing w:after="0" w:line="360" w:lineRule="auto"/>
        <w:rPr>
          <w:rFonts w:ascii="Times New Roman" w:hAnsi="Times New Roman" w:cs="Times New Roman"/>
          <w:sz w:val="24"/>
          <w:szCs w:val="24"/>
        </w:rPr>
      </w:pPr>
    </w:p>
    <w:p w14:paraId="3F8BDC2E" w14:textId="77777777" w:rsidR="00AE6F3E" w:rsidRDefault="00AE6F3E" w:rsidP="004258B6">
      <w:pPr>
        <w:spacing w:after="0" w:line="480" w:lineRule="auto"/>
        <w:rPr>
          <w:rFonts w:ascii="Times New Roman" w:hAnsi="Times New Roman" w:cs="Times New Roman"/>
          <w:sz w:val="24"/>
          <w:szCs w:val="24"/>
        </w:rPr>
      </w:pPr>
      <w:bookmarkStart w:id="17" w:name="_Hlk11827843"/>
      <w:r w:rsidRPr="00F555AD">
        <w:rPr>
          <w:rFonts w:ascii="Times New Roman" w:hAnsi="Times New Roman" w:cs="Times New Roman"/>
          <w:sz w:val="24"/>
          <w:szCs w:val="24"/>
        </w:rPr>
        <w:t>Il numero di pazienti con AGC presenti tra gli assistiti del nostro campione di MMG era compreso tra 0 e 2 per 70 medici su 75 (93,3%), mentre 5 (6,7%) di essi avevano tra 3 e 10 pazienti</w:t>
      </w:r>
      <w:bookmarkEnd w:id="17"/>
      <w:r w:rsidRPr="00500569">
        <w:rPr>
          <w:rFonts w:ascii="Times New Roman" w:hAnsi="Times New Roman" w:cs="Times New Roman"/>
          <w:color w:val="FF0000"/>
          <w:sz w:val="24"/>
          <w:szCs w:val="24"/>
        </w:rPr>
        <w:t xml:space="preserve"> </w:t>
      </w:r>
      <w:r w:rsidRPr="00387A46">
        <w:rPr>
          <w:rFonts w:ascii="Times New Roman" w:hAnsi="Times New Roman" w:cs="Times New Roman"/>
          <w:sz w:val="24"/>
          <w:szCs w:val="24"/>
        </w:rPr>
        <w:t xml:space="preserve">(Figura </w:t>
      </w:r>
      <w:r w:rsidR="00C86E51" w:rsidRPr="00387A46">
        <w:rPr>
          <w:rFonts w:ascii="Times New Roman" w:hAnsi="Times New Roman" w:cs="Times New Roman"/>
          <w:sz w:val="24"/>
          <w:szCs w:val="24"/>
        </w:rPr>
        <w:t>1</w:t>
      </w:r>
      <w:r w:rsidR="003E0D5F" w:rsidRPr="00387A46">
        <w:rPr>
          <w:rFonts w:ascii="Times New Roman" w:hAnsi="Times New Roman" w:cs="Times New Roman"/>
          <w:sz w:val="24"/>
          <w:szCs w:val="24"/>
        </w:rPr>
        <w:t>1</w:t>
      </w:r>
      <w:r w:rsidRPr="00387A46">
        <w:rPr>
          <w:rFonts w:ascii="Times New Roman" w:hAnsi="Times New Roman" w:cs="Times New Roman"/>
          <w:sz w:val="24"/>
          <w:szCs w:val="24"/>
        </w:rPr>
        <w:t>).</w:t>
      </w:r>
    </w:p>
    <w:p w14:paraId="738AB749" w14:textId="77777777" w:rsidR="00380EDB" w:rsidRPr="00F555AD" w:rsidRDefault="00380EDB" w:rsidP="009464C3">
      <w:pPr>
        <w:spacing w:after="0" w:line="360" w:lineRule="auto"/>
        <w:rPr>
          <w:rFonts w:ascii="Times New Roman" w:hAnsi="Times New Roman" w:cs="Times New Roman"/>
          <w:sz w:val="24"/>
          <w:szCs w:val="24"/>
        </w:rPr>
      </w:pPr>
    </w:p>
    <w:p w14:paraId="2BA65EE9" w14:textId="77777777" w:rsidR="001A08BD" w:rsidRPr="004258B6" w:rsidRDefault="00380EDB" w:rsidP="009464C3">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1ABA42A2" wp14:editId="769B100C">
            <wp:extent cx="4815840" cy="2263140"/>
            <wp:effectExtent l="0" t="0" r="0" b="0"/>
            <wp:docPr id="8" name="Grafico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A4A7E4-D4AA-41E9-A838-A1817A27E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80EDB">
        <w:rPr>
          <w:rFonts w:ascii="Times New Roman" w:hAnsi="Times New Roman" w:cs="Times New Roman"/>
          <w:sz w:val="24"/>
          <w:szCs w:val="24"/>
        </w:rPr>
        <w:t xml:space="preserve"> </w:t>
      </w:r>
      <w:r w:rsidR="00AE6F3E" w:rsidRPr="00676023">
        <w:rPr>
          <w:rFonts w:ascii="Times New Roman" w:hAnsi="Times New Roman" w:cs="Times New Roman"/>
          <w:b/>
          <w:sz w:val="20"/>
          <w:szCs w:val="20"/>
        </w:rPr>
        <w:t xml:space="preserve">Figura </w:t>
      </w:r>
      <w:r w:rsidR="00C86E51" w:rsidRPr="00676023">
        <w:rPr>
          <w:rFonts w:ascii="Times New Roman" w:hAnsi="Times New Roman" w:cs="Times New Roman"/>
          <w:b/>
          <w:sz w:val="20"/>
          <w:szCs w:val="20"/>
        </w:rPr>
        <w:t>1</w:t>
      </w:r>
      <w:r w:rsidR="003E0D5F" w:rsidRPr="00676023">
        <w:rPr>
          <w:rFonts w:ascii="Times New Roman" w:hAnsi="Times New Roman" w:cs="Times New Roman"/>
          <w:b/>
          <w:sz w:val="20"/>
          <w:szCs w:val="20"/>
        </w:rPr>
        <w:t>1</w:t>
      </w:r>
      <w:r w:rsidR="00AE6F3E" w:rsidRPr="00676023">
        <w:rPr>
          <w:rFonts w:ascii="Times New Roman" w:hAnsi="Times New Roman" w:cs="Times New Roman"/>
          <w:b/>
          <w:sz w:val="20"/>
          <w:szCs w:val="20"/>
        </w:rPr>
        <w:t>.</w:t>
      </w:r>
      <w:r w:rsidR="00AE6F3E" w:rsidRPr="00676023">
        <w:rPr>
          <w:rFonts w:ascii="Times New Roman" w:hAnsi="Times New Roman" w:cs="Times New Roman"/>
          <w:sz w:val="20"/>
          <w:szCs w:val="20"/>
        </w:rPr>
        <w:t xml:space="preserve"> Assistiti che attualmente hanno diagnosi di AGC</w:t>
      </w:r>
    </w:p>
    <w:p w14:paraId="2893DFFF" w14:textId="77777777" w:rsidR="00ED4079" w:rsidRPr="00F555AD" w:rsidRDefault="00ED4079" w:rsidP="009464C3">
      <w:pPr>
        <w:spacing w:after="0" w:line="360" w:lineRule="auto"/>
        <w:rPr>
          <w:rFonts w:ascii="Times New Roman" w:hAnsi="Times New Roman" w:cs="Times New Roman"/>
          <w:sz w:val="24"/>
          <w:szCs w:val="24"/>
        </w:rPr>
      </w:pPr>
    </w:p>
    <w:p w14:paraId="4C04FAD3" w14:textId="77777777" w:rsidR="001A08BD" w:rsidRPr="00F555AD" w:rsidRDefault="001A08BD" w:rsidP="009464C3">
      <w:pPr>
        <w:spacing w:after="0" w:line="360" w:lineRule="auto"/>
        <w:rPr>
          <w:rFonts w:ascii="Times New Roman" w:hAnsi="Times New Roman" w:cs="Times New Roman"/>
          <w:sz w:val="24"/>
          <w:szCs w:val="24"/>
        </w:rPr>
      </w:pPr>
    </w:p>
    <w:p w14:paraId="76174B8A" w14:textId="77777777" w:rsidR="00AE6F3E" w:rsidRPr="00387A46" w:rsidRDefault="00AE6F3E" w:rsidP="004258B6">
      <w:pPr>
        <w:spacing w:after="0" w:line="480" w:lineRule="auto"/>
        <w:rPr>
          <w:rFonts w:ascii="Times New Roman" w:hAnsi="Times New Roman" w:cs="Times New Roman"/>
          <w:sz w:val="24"/>
          <w:szCs w:val="24"/>
        </w:rPr>
      </w:pPr>
      <w:bookmarkStart w:id="18" w:name="_Hlk11828013"/>
      <w:r w:rsidRPr="00F555AD">
        <w:rPr>
          <w:rFonts w:ascii="Times New Roman" w:hAnsi="Times New Roman" w:cs="Times New Roman"/>
          <w:sz w:val="24"/>
          <w:szCs w:val="24"/>
        </w:rPr>
        <w:t>L’età di esordio della malattia nell’esperienza dei MMG genovesi era tra 40 e 50 anni per 7/</w:t>
      </w:r>
      <w:r w:rsidRPr="00387A46">
        <w:rPr>
          <w:rFonts w:ascii="Times New Roman" w:hAnsi="Times New Roman" w:cs="Times New Roman"/>
          <w:sz w:val="24"/>
          <w:szCs w:val="24"/>
        </w:rPr>
        <w:t xml:space="preserve">70 (10%) di loro ed al di sopra dei 50 anni per il restante 90% (63/70) </w:t>
      </w:r>
      <w:bookmarkEnd w:id="18"/>
      <w:r w:rsidRPr="00387A46">
        <w:rPr>
          <w:rFonts w:ascii="Times New Roman" w:hAnsi="Times New Roman" w:cs="Times New Roman"/>
          <w:sz w:val="24"/>
          <w:szCs w:val="24"/>
        </w:rPr>
        <w:t xml:space="preserve">(Figura </w:t>
      </w:r>
      <w:r w:rsidR="00C86E51" w:rsidRPr="00387A46">
        <w:rPr>
          <w:rFonts w:ascii="Times New Roman" w:hAnsi="Times New Roman" w:cs="Times New Roman"/>
          <w:sz w:val="24"/>
          <w:szCs w:val="24"/>
        </w:rPr>
        <w:t>1</w:t>
      </w:r>
      <w:r w:rsidR="003E0D5F" w:rsidRPr="00387A46">
        <w:rPr>
          <w:rFonts w:ascii="Times New Roman" w:hAnsi="Times New Roman" w:cs="Times New Roman"/>
          <w:sz w:val="24"/>
          <w:szCs w:val="24"/>
        </w:rPr>
        <w:t>2</w:t>
      </w:r>
      <w:r w:rsidRPr="00387A46">
        <w:rPr>
          <w:rFonts w:ascii="Times New Roman" w:hAnsi="Times New Roman" w:cs="Times New Roman"/>
          <w:sz w:val="24"/>
          <w:szCs w:val="24"/>
        </w:rPr>
        <w:t>).</w:t>
      </w:r>
    </w:p>
    <w:p w14:paraId="76B9D3A2" w14:textId="77777777" w:rsidR="00AE6F3E" w:rsidRDefault="00AE6F3E" w:rsidP="00AE6F3E">
      <w:pPr>
        <w:spacing w:after="0" w:line="360" w:lineRule="auto"/>
        <w:rPr>
          <w:rFonts w:ascii="Times New Roman" w:hAnsi="Times New Roman" w:cs="Times New Roman"/>
          <w:sz w:val="24"/>
          <w:szCs w:val="24"/>
        </w:rPr>
      </w:pPr>
    </w:p>
    <w:p w14:paraId="51F8DA46" w14:textId="77777777" w:rsidR="00AE6F3E" w:rsidRDefault="00AE6F3E" w:rsidP="00AE6F3E">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35C39C56" wp14:editId="2C517260">
            <wp:extent cx="4777740" cy="2209800"/>
            <wp:effectExtent l="0" t="0" r="0" b="0"/>
            <wp:docPr id="4" name="Grafico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34AF7C-1B68-421F-AA86-0A208412B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DA82F9" w14:textId="77777777" w:rsidR="00AE6F3E" w:rsidRPr="00676023" w:rsidRDefault="00AE6F3E" w:rsidP="00AE6F3E">
      <w:pPr>
        <w:spacing w:after="0" w:line="360" w:lineRule="auto"/>
        <w:rPr>
          <w:rFonts w:ascii="Times New Roman" w:hAnsi="Times New Roman" w:cs="Times New Roman"/>
          <w:sz w:val="20"/>
          <w:szCs w:val="20"/>
        </w:rPr>
        <w:sectPr w:rsidR="00AE6F3E" w:rsidRPr="00676023" w:rsidSect="001D6907">
          <w:footerReference w:type="default" r:id="rId22"/>
          <w:pgSz w:w="11906" w:h="16838"/>
          <w:pgMar w:top="1418" w:right="1418" w:bottom="1985" w:left="2552" w:header="57" w:footer="709" w:gutter="0"/>
          <w:cols w:space="708"/>
          <w:titlePg/>
          <w:docGrid w:linePitch="360"/>
        </w:sectPr>
      </w:pPr>
      <w:r w:rsidRPr="00676023">
        <w:rPr>
          <w:rFonts w:ascii="Times New Roman" w:hAnsi="Times New Roman" w:cs="Times New Roman"/>
          <w:b/>
          <w:sz w:val="20"/>
          <w:szCs w:val="20"/>
        </w:rPr>
        <w:t xml:space="preserve">Figura </w:t>
      </w:r>
      <w:r w:rsidR="00C86E51" w:rsidRPr="00676023">
        <w:rPr>
          <w:rFonts w:ascii="Times New Roman" w:hAnsi="Times New Roman" w:cs="Times New Roman"/>
          <w:b/>
          <w:sz w:val="20"/>
          <w:szCs w:val="20"/>
        </w:rPr>
        <w:t>1</w:t>
      </w:r>
      <w:r w:rsidR="003E0D5F" w:rsidRPr="00676023">
        <w:rPr>
          <w:rFonts w:ascii="Times New Roman" w:hAnsi="Times New Roman" w:cs="Times New Roman"/>
          <w:b/>
          <w:sz w:val="20"/>
          <w:szCs w:val="20"/>
        </w:rPr>
        <w:t>2</w:t>
      </w:r>
      <w:r w:rsidRPr="00676023">
        <w:rPr>
          <w:rFonts w:ascii="Times New Roman" w:hAnsi="Times New Roman" w:cs="Times New Roman"/>
          <w:b/>
          <w:sz w:val="20"/>
          <w:szCs w:val="20"/>
        </w:rPr>
        <w:t>.</w:t>
      </w:r>
      <w:r w:rsidRPr="00676023">
        <w:rPr>
          <w:rFonts w:ascii="Times New Roman" w:hAnsi="Times New Roman" w:cs="Times New Roman"/>
          <w:sz w:val="20"/>
          <w:szCs w:val="20"/>
        </w:rPr>
        <w:t xml:space="preserve"> Fascia di età più rappresentata dai propri pazienti con </w:t>
      </w:r>
      <w:r w:rsidR="00ED4079" w:rsidRPr="00676023">
        <w:rPr>
          <w:rFonts w:ascii="Times New Roman" w:hAnsi="Times New Roman" w:cs="Times New Roman"/>
          <w:sz w:val="20"/>
          <w:szCs w:val="20"/>
        </w:rPr>
        <w:t>diagnosi di AGC</w:t>
      </w:r>
    </w:p>
    <w:p w14:paraId="23DF789B" w14:textId="77777777" w:rsidR="00ED4079" w:rsidRDefault="00ED4079" w:rsidP="004258B6">
      <w:pPr>
        <w:spacing w:after="0" w:line="480" w:lineRule="auto"/>
        <w:rPr>
          <w:rFonts w:ascii="Times New Roman" w:hAnsi="Times New Roman" w:cs="Times New Roman"/>
          <w:sz w:val="24"/>
          <w:szCs w:val="24"/>
        </w:rPr>
      </w:pPr>
      <w:bookmarkStart w:id="19" w:name="_Hlk11828096"/>
      <w:r w:rsidRPr="00F555AD">
        <w:rPr>
          <w:rFonts w:ascii="Times New Roman" w:hAnsi="Times New Roman" w:cs="Times New Roman"/>
          <w:sz w:val="24"/>
          <w:szCs w:val="24"/>
        </w:rPr>
        <w:lastRenderedPageBreak/>
        <w:t>La manifestazione più frequente con la quale l’AGC si era manifestata nei loro pazienti era la cefalea di nuova insorgenza per 54/69 (78,3%) MMG</w:t>
      </w:r>
      <w:bookmarkStart w:id="20" w:name="_Hlk11828174"/>
      <w:bookmarkEnd w:id="19"/>
      <w:r w:rsidRPr="00F555AD">
        <w:rPr>
          <w:rFonts w:ascii="Times New Roman" w:hAnsi="Times New Roman" w:cs="Times New Roman"/>
          <w:sz w:val="24"/>
          <w:szCs w:val="24"/>
        </w:rPr>
        <w:t>, i segni infiammatori sistemici per 8 (11,1%), le artralgie per 4 (5,8%), ed i problemi visivi per 3 (4,3%)</w:t>
      </w:r>
      <w:bookmarkEnd w:id="20"/>
      <w:r>
        <w:rPr>
          <w:rFonts w:ascii="Times New Roman" w:hAnsi="Times New Roman" w:cs="Times New Roman"/>
          <w:sz w:val="24"/>
          <w:szCs w:val="24"/>
        </w:rPr>
        <w:t xml:space="preserve"> </w:t>
      </w:r>
      <w:r w:rsidRPr="00387A46">
        <w:rPr>
          <w:rFonts w:ascii="Times New Roman" w:hAnsi="Times New Roman" w:cs="Times New Roman"/>
          <w:sz w:val="24"/>
          <w:szCs w:val="24"/>
        </w:rPr>
        <w:t xml:space="preserve">(Figura </w:t>
      </w:r>
      <w:r w:rsidR="00C86E51" w:rsidRPr="00387A46">
        <w:rPr>
          <w:rFonts w:ascii="Times New Roman" w:hAnsi="Times New Roman" w:cs="Times New Roman"/>
          <w:sz w:val="24"/>
          <w:szCs w:val="24"/>
        </w:rPr>
        <w:t>1</w:t>
      </w:r>
      <w:r w:rsidR="003E0D5F" w:rsidRPr="00387A46">
        <w:rPr>
          <w:rFonts w:ascii="Times New Roman" w:hAnsi="Times New Roman" w:cs="Times New Roman"/>
          <w:sz w:val="24"/>
          <w:szCs w:val="24"/>
        </w:rPr>
        <w:t>3</w:t>
      </w:r>
      <w:r w:rsidRPr="00387A46">
        <w:rPr>
          <w:rFonts w:ascii="Times New Roman" w:hAnsi="Times New Roman" w:cs="Times New Roman"/>
          <w:sz w:val="24"/>
          <w:szCs w:val="24"/>
        </w:rPr>
        <w:t>).</w:t>
      </w:r>
    </w:p>
    <w:p w14:paraId="4F22863C" w14:textId="77777777" w:rsidR="00ED4079" w:rsidRPr="00F555AD" w:rsidRDefault="00ED4079" w:rsidP="00ED4079">
      <w:pPr>
        <w:spacing w:after="0" w:line="360" w:lineRule="auto"/>
        <w:rPr>
          <w:rFonts w:ascii="Times New Roman" w:hAnsi="Times New Roman" w:cs="Times New Roman"/>
          <w:sz w:val="24"/>
          <w:szCs w:val="24"/>
        </w:rPr>
      </w:pPr>
    </w:p>
    <w:p w14:paraId="7A8480EA" w14:textId="77777777" w:rsidR="001A08BD" w:rsidRDefault="00ED4079" w:rsidP="009464C3">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4B9D8C44" wp14:editId="761AD9CD">
            <wp:extent cx="4419600" cy="2293620"/>
            <wp:effectExtent l="0" t="0" r="0" b="0"/>
            <wp:docPr id="9" name="Grafico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7E68F7-2BB8-458A-9973-C86A5AAF2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527809" w14:textId="77777777" w:rsidR="00ED4079" w:rsidRPr="00676023" w:rsidRDefault="00ED4079" w:rsidP="009464C3">
      <w:pPr>
        <w:spacing w:after="0" w:line="360" w:lineRule="auto"/>
        <w:rPr>
          <w:rFonts w:ascii="Times New Roman" w:hAnsi="Times New Roman" w:cs="Times New Roman"/>
          <w:sz w:val="20"/>
          <w:szCs w:val="20"/>
        </w:rPr>
      </w:pPr>
      <w:r w:rsidRPr="00676023">
        <w:rPr>
          <w:rFonts w:ascii="Times New Roman" w:hAnsi="Times New Roman" w:cs="Times New Roman"/>
          <w:b/>
          <w:sz w:val="20"/>
          <w:szCs w:val="20"/>
        </w:rPr>
        <w:t xml:space="preserve">Figura </w:t>
      </w:r>
      <w:r w:rsidR="00C86E51" w:rsidRPr="00676023">
        <w:rPr>
          <w:rFonts w:ascii="Times New Roman" w:hAnsi="Times New Roman" w:cs="Times New Roman"/>
          <w:b/>
          <w:sz w:val="20"/>
          <w:szCs w:val="20"/>
        </w:rPr>
        <w:t>1</w:t>
      </w:r>
      <w:r w:rsidR="003E0D5F" w:rsidRPr="00676023">
        <w:rPr>
          <w:rFonts w:ascii="Times New Roman" w:hAnsi="Times New Roman" w:cs="Times New Roman"/>
          <w:b/>
          <w:sz w:val="20"/>
          <w:szCs w:val="20"/>
        </w:rPr>
        <w:t>3</w:t>
      </w:r>
      <w:r w:rsidRPr="00676023">
        <w:rPr>
          <w:rFonts w:ascii="Times New Roman" w:hAnsi="Times New Roman" w:cs="Times New Roman"/>
          <w:b/>
          <w:sz w:val="20"/>
          <w:szCs w:val="20"/>
        </w:rPr>
        <w:t>.</w:t>
      </w:r>
      <w:r w:rsidRPr="00676023">
        <w:rPr>
          <w:rFonts w:ascii="Times New Roman" w:hAnsi="Times New Roman" w:cs="Times New Roman"/>
          <w:sz w:val="20"/>
          <w:szCs w:val="20"/>
        </w:rPr>
        <w:t xml:space="preserve"> Manifestazione clinica di AGC più frequente nei propri pazienti</w:t>
      </w:r>
    </w:p>
    <w:p w14:paraId="1ED3C1D2" w14:textId="77777777" w:rsidR="00ED4079" w:rsidRDefault="00ED4079" w:rsidP="009464C3">
      <w:pPr>
        <w:spacing w:after="0" w:line="360" w:lineRule="auto"/>
        <w:rPr>
          <w:rFonts w:ascii="Times New Roman" w:hAnsi="Times New Roman" w:cs="Times New Roman"/>
          <w:color w:val="FF0000"/>
          <w:sz w:val="24"/>
          <w:szCs w:val="24"/>
        </w:rPr>
      </w:pPr>
    </w:p>
    <w:p w14:paraId="3CBF52E1" w14:textId="77777777" w:rsidR="00ED4079" w:rsidRDefault="00ED4079" w:rsidP="00212CA7">
      <w:pPr>
        <w:spacing w:after="0" w:line="480" w:lineRule="auto"/>
        <w:rPr>
          <w:rFonts w:ascii="Times New Roman" w:hAnsi="Times New Roman" w:cs="Times New Roman"/>
          <w:noProof/>
        </w:rPr>
      </w:pPr>
      <w:bookmarkStart w:id="21" w:name="_Hlk11828244"/>
      <w:r w:rsidRPr="00F555AD">
        <w:rPr>
          <w:rFonts w:ascii="Times New Roman" w:hAnsi="Times New Roman" w:cs="Times New Roman"/>
          <w:sz w:val="24"/>
          <w:szCs w:val="24"/>
        </w:rPr>
        <w:t>Gli esami richiesti ai pazienti con sospetta AGC erano VES e PCR per 24/72 (33,3%) MMG, e la combinazione di tutti gli esami ipotizzati (VES, PCR, emocromo, RA test, ACPA) per i restanti 48 (66,7%)</w:t>
      </w:r>
      <w:r>
        <w:rPr>
          <w:rFonts w:ascii="Times New Roman" w:hAnsi="Times New Roman" w:cs="Times New Roman"/>
          <w:sz w:val="24"/>
          <w:szCs w:val="24"/>
        </w:rPr>
        <w:t xml:space="preserve"> </w:t>
      </w:r>
      <w:bookmarkEnd w:id="21"/>
      <w:r w:rsidRPr="00387A46">
        <w:rPr>
          <w:rFonts w:ascii="Times New Roman" w:hAnsi="Times New Roman" w:cs="Times New Roman"/>
          <w:sz w:val="24"/>
          <w:szCs w:val="24"/>
        </w:rPr>
        <w:t xml:space="preserve">(Figura </w:t>
      </w:r>
      <w:r w:rsidR="00C86E51" w:rsidRPr="00387A46">
        <w:rPr>
          <w:rFonts w:ascii="Times New Roman" w:hAnsi="Times New Roman" w:cs="Times New Roman"/>
          <w:sz w:val="24"/>
          <w:szCs w:val="24"/>
        </w:rPr>
        <w:t>1</w:t>
      </w:r>
      <w:r w:rsidR="003E0D5F" w:rsidRPr="00387A46">
        <w:rPr>
          <w:rFonts w:ascii="Times New Roman" w:hAnsi="Times New Roman" w:cs="Times New Roman"/>
          <w:sz w:val="24"/>
          <w:szCs w:val="24"/>
        </w:rPr>
        <w:t>4</w:t>
      </w:r>
      <w:r w:rsidRPr="00387A46">
        <w:rPr>
          <w:rFonts w:ascii="Times New Roman" w:hAnsi="Times New Roman" w:cs="Times New Roman"/>
          <w:sz w:val="24"/>
          <w:szCs w:val="24"/>
        </w:rPr>
        <w:t>).</w:t>
      </w:r>
      <w:r w:rsidRPr="00ED4079">
        <w:rPr>
          <w:rFonts w:ascii="Times New Roman" w:hAnsi="Times New Roman" w:cs="Times New Roman"/>
          <w:noProof/>
        </w:rPr>
        <w:t xml:space="preserve"> </w:t>
      </w:r>
    </w:p>
    <w:p w14:paraId="12DB676B" w14:textId="77777777" w:rsidR="00ED4079" w:rsidRDefault="00ED4079" w:rsidP="00ED4079">
      <w:pPr>
        <w:spacing w:after="0" w:line="360" w:lineRule="auto"/>
        <w:rPr>
          <w:rFonts w:ascii="Times New Roman" w:hAnsi="Times New Roman" w:cs="Times New Roman"/>
          <w:sz w:val="24"/>
          <w:szCs w:val="24"/>
        </w:rPr>
      </w:pPr>
    </w:p>
    <w:p w14:paraId="061B3A02" w14:textId="77777777" w:rsidR="00ED4079" w:rsidRDefault="00ED4079" w:rsidP="00ED4079">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7F228A26" wp14:editId="6B1ADD98">
            <wp:extent cx="4427220" cy="2369820"/>
            <wp:effectExtent l="0" t="0" r="0" b="0"/>
            <wp:docPr id="10" name="Grafico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052CF4-8C74-4675-A6D4-2A8C1A095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8D12CD" w14:textId="77777777" w:rsidR="00ED4079" w:rsidRPr="00676023" w:rsidRDefault="00ED4079" w:rsidP="009464C3">
      <w:pPr>
        <w:spacing w:after="0" w:line="360" w:lineRule="auto"/>
        <w:rPr>
          <w:rFonts w:ascii="Times New Roman" w:hAnsi="Times New Roman" w:cs="Times New Roman"/>
          <w:sz w:val="20"/>
          <w:szCs w:val="20"/>
        </w:rPr>
      </w:pPr>
      <w:r w:rsidRPr="00676023">
        <w:rPr>
          <w:rFonts w:ascii="Times New Roman" w:hAnsi="Times New Roman" w:cs="Times New Roman"/>
          <w:b/>
          <w:sz w:val="20"/>
          <w:szCs w:val="20"/>
        </w:rPr>
        <w:t xml:space="preserve">Figura </w:t>
      </w:r>
      <w:r w:rsidR="00C86E51" w:rsidRPr="00676023">
        <w:rPr>
          <w:rFonts w:ascii="Times New Roman" w:hAnsi="Times New Roman" w:cs="Times New Roman"/>
          <w:b/>
          <w:sz w:val="20"/>
          <w:szCs w:val="20"/>
        </w:rPr>
        <w:t>1</w:t>
      </w:r>
      <w:r w:rsidR="003E0D5F" w:rsidRPr="00676023">
        <w:rPr>
          <w:rFonts w:ascii="Times New Roman" w:hAnsi="Times New Roman" w:cs="Times New Roman"/>
          <w:b/>
          <w:sz w:val="20"/>
          <w:szCs w:val="20"/>
        </w:rPr>
        <w:t>4</w:t>
      </w:r>
      <w:r w:rsidRPr="00676023">
        <w:rPr>
          <w:rFonts w:ascii="Times New Roman" w:hAnsi="Times New Roman" w:cs="Times New Roman"/>
          <w:b/>
          <w:sz w:val="20"/>
          <w:szCs w:val="20"/>
        </w:rPr>
        <w:t>.</w:t>
      </w:r>
      <w:r w:rsidRPr="00676023">
        <w:rPr>
          <w:rFonts w:ascii="Times New Roman" w:hAnsi="Times New Roman" w:cs="Times New Roman"/>
          <w:sz w:val="20"/>
          <w:szCs w:val="20"/>
        </w:rPr>
        <w:t xml:space="preserve"> Esami di laboratorio richiesti</w:t>
      </w:r>
    </w:p>
    <w:p w14:paraId="08172588" w14:textId="77777777" w:rsidR="00ED4079" w:rsidRDefault="00ED4079" w:rsidP="00212CA7">
      <w:pPr>
        <w:spacing w:after="0" w:line="480" w:lineRule="auto"/>
        <w:rPr>
          <w:rFonts w:ascii="Times New Roman" w:hAnsi="Times New Roman" w:cs="Times New Roman"/>
          <w:noProof/>
        </w:rPr>
      </w:pPr>
      <w:bookmarkStart w:id="22" w:name="_Hlk11828301"/>
      <w:r w:rsidRPr="00F555AD">
        <w:rPr>
          <w:rFonts w:ascii="Times New Roman" w:hAnsi="Times New Roman" w:cs="Times New Roman"/>
          <w:sz w:val="24"/>
          <w:szCs w:val="24"/>
        </w:rPr>
        <w:lastRenderedPageBreak/>
        <w:t>I criteri utilizzati per formulare la diagnosi di AGC erano la presentazione clinica per 25/71 (35,2%) MMG, la biopsia dell’arteria temporale per 35 (49,3%), in associazione alla presentazione clinica per 9 MMG, ed infine metodiche di imaging per 11 (15,5%). Tre MMG basavano la diagnosi sulla clinica, biopsia ed imaging, ed uno sulla combinazione clinica più imaging</w:t>
      </w:r>
      <w:r w:rsidR="00DD53E0">
        <w:rPr>
          <w:rFonts w:ascii="Times New Roman" w:hAnsi="Times New Roman" w:cs="Times New Roman"/>
          <w:sz w:val="24"/>
          <w:szCs w:val="24"/>
        </w:rPr>
        <w:t xml:space="preserve"> </w:t>
      </w:r>
      <w:bookmarkEnd w:id="22"/>
      <w:r w:rsidR="00DD53E0" w:rsidRPr="00387A46">
        <w:rPr>
          <w:rFonts w:ascii="Times New Roman" w:hAnsi="Times New Roman" w:cs="Times New Roman"/>
          <w:sz w:val="24"/>
          <w:szCs w:val="24"/>
        </w:rPr>
        <w:t xml:space="preserve">(Figura </w:t>
      </w:r>
      <w:r w:rsidR="00C86E51" w:rsidRPr="00387A46">
        <w:rPr>
          <w:rFonts w:ascii="Times New Roman" w:hAnsi="Times New Roman" w:cs="Times New Roman"/>
          <w:sz w:val="24"/>
          <w:szCs w:val="24"/>
        </w:rPr>
        <w:t>1</w:t>
      </w:r>
      <w:r w:rsidR="00584E8B" w:rsidRPr="00387A46">
        <w:rPr>
          <w:rFonts w:ascii="Times New Roman" w:hAnsi="Times New Roman" w:cs="Times New Roman"/>
          <w:sz w:val="24"/>
          <w:szCs w:val="24"/>
        </w:rPr>
        <w:t>5</w:t>
      </w:r>
      <w:r w:rsidR="00DD53E0" w:rsidRPr="00387A46">
        <w:rPr>
          <w:rFonts w:ascii="Times New Roman" w:hAnsi="Times New Roman" w:cs="Times New Roman"/>
          <w:sz w:val="24"/>
          <w:szCs w:val="24"/>
        </w:rPr>
        <w:t>).</w:t>
      </w:r>
    </w:p>
    <w:p w14:paraId="7B078AD3" w14:textId="77777777" w:rsidR="00ED4079" w:rsidRPr="00F555AD" w:rsidRDefault="00ED4079" w:rsidP="00ED4079">
      <w:pPr>
        <w:spacing w:after="0" w:line="360" w:lineRule="auto"/>
        <w:rPr>
          <w:rFonts w:ascii="Times New Roman" w:hAnsi="Times New Roman" w:cs="Times New Roman"/>
          <w:sz w:val="24"/>
          <w:szCs w:val="24"/>
        </w:rPr>
      </w:pPr>
    </w:p>
    <w:p w14:paraId="6B65B83C" w14:textId="77777777" w:rsidR="00ED4079" w:rsidRDefault="00ED4079" w:rsidP="009464C3">
      <w:pPr>
        <w:spacing w:after="0" w:line="360" w:lineRule="auto"/>
        <w:rPr>
          <w:rFonts w:ascii="Times New Roman" w:hAnsi="Times New Roman" w:cs="Times New Roman"/>
          <w:color w:val="FF0000"/>
          <w:sz w:val="24"/>
          <w:szCs w:val="24"/>
        </w:rPr>
      </w:pPr>
      <w:r w:rsidRPr="00F555AD">
        <w:rPr>
          <w:rFonts w:ascii="Times New Roman" w:hAnsi="Times New Roman" w:cs="Times New Roman"/>
          <w:noProof/>
          <w:lang w:eastAsia="it-IT"/>
        </w:rPr>
        <w:drawing>
          <wp:inline distT="0" distB="0" distL="0" distR="0" wp14:anchorId="00B411EC" wp14:editId="17204E66">
            <wp:extent cx="4808220" cy="3749040"/>
            <wp:effectExtent l="0" t="0" r="0" b="0"/>
            <wp:docPr id="11" name="Grafico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BD0819-0314-4AA6-A0AF-008634004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59D21B" w14:textId="77777777" w:rsidR="00ED4079" w:rsidRPr="00676023" w:rsidRDefault="00ED4079" w:rsidP="00212CA7">
      <w:pPr>
        <w:spacing w:after="0" w:line="480" w:lineRule="auto"/>
        <w:rPr>
          <w:rFonts w:ascii="Times New Roman" w:hAnsi="Times New Roman" w:cs="Times New Roman"/>
          <w:sz w:val="20"/>
          <w:szCs w:val="20"/>
        </w:rPr>
      </w:pPr>
      <w:r w:rsidRPr="00676023">
        <w:rPr>
          <w:rFonts w:ascii="Times New Roman" w:hAnsi="Times New Roman" w:cs="Times New Roman"/>
          <w:b/>
          <w:sz w:val="20"/>
          <w:szCs w:val="20"/>
        </w:rPr>
        <w:t xml:space="preserve">Figura </w:t>
      </w:r>
      <w:r w:rsidR="00C86E51" w:rsidRPr="00676023">
        <w:rPr>
          <w:rFonts w:ascii="Times New Roman" w:hAnsi="Times New Roman" w:cs="Times New Roman"/>
          <w:b/>
          <w:sz w:val="20"/>
          <w:szCs w:val="20"/>
        </w:rPr>
        <w:t>1</w:t>
      </w:r>
      <w:r w:rsidR="00584E8B" w:rsidRPr="00676023">
        <w:rPr>
          <w:rFonts w:ascii="Times New Roman" w:hAnsi="Times New Roman" w:cs="Times New Roman"/>
          <w:b/>
          <w:sz w:val="20"/>
          <w:szCs w:val="20"/>
        </w:rPr>
        <w:t>5</w:t>
      </w:r>
      <w:r w:rsidRPr="00676023">
        <w:rPr>
          <w:rFonts w:ascii="Times New Roman" w:hAnsi="Times New Roman" w:cs="Times New Roman"/>
          <w:b/>
          <w:sz w:val="20"/>
          <w:szCs w:val="20"/>
        </w:rPr>
        <w:t>.</w:t>
      </w:r>
      <w:r w:rsidRPr="00676023">
        <w:rPr>
          <w:rFonts w:ascii="Times New Roman" w:hAnsi="Times New Roman" w:cs="Times New Roman"/>
          <w:sz w:val="20"/>
          <w:szCs w:val="20"/>
        </w:rPr>
        <w:t xml:space="preserve"> Elementi su cui il medico si basa per formulare la diagnosi</w:t>
      </w:r>
    </w:p>
    <w:p w14:paraId="68DE1678" w14:textId="77777777" w:rsidR="00ED4079" w:rsidRPr="00702118" w:rsidRDefault="00ED4079" w:rsidP="00212CA7">
      <w:pPr>
        <w:spacing w:after="0" w:line="480" w:lineRule="auto"/>
        <w:rPr>
          <w:rFonts w:ascii="Times New Roman" w:hAnsi="Times New Roman" w:cs="Times New Roman"/>
        </w:rPr>
      </w:pPr>
      <w:r w:rsidRPr="00702118">
        <w:rPr>
          <w:rFonts w:ascii="Times New Roman" w:hAnsi="Times New Roman" w:cs="Times New Roman"/>
        </w:rPr>
        <w:t>(*Nel grafico vengono riportati i numeri totali dei soggetti che hanno indicato l’elemento, sommando sia coloro che hanno indicato la singola scelta sia quelli che la hanno citata tra le combinazioni di più elementi proposti)</w:t>
      </w:r>
    </w:p>
    <w:p w14:paraId="2B10F06E" w14:textId="77777777" w:rsidR="00212CA7" w:rsidRPr="00F555AD" w:rsidRDefault="00212CA7" w:rsidP="00212CA7">
      <w:pPr>
        <w:spacing w:after="0" w:line="480" w:lineRule="auto"/>
        <w:rPr>
          <w:rFonts w:ascii="Times New Roman" w:hAnsi="Times New Roman" w:cs="Times New Roman"/>
          <w:sz w:val="24"/>
          <w:szCs w:val="24"/>
        </w:rPr>
      </w:pPr>
    </w:p>
    <w:p w14:paraId="0FE39BFA" w14:textId="77777777" w:rsidR="00702118" w:rsidRDefault="00702118">
      <w:pPr>
        <w:rPr>
          <w:rFonts w:ascii="Times New Roman" w:hAnsi="Times New Roman" w:cs="Times New Roman"/>
          <w:sz w:val="24"/>
          <w:szCs w:val="24"/>
        </w:rPr>
      </w:pPr>
      <w:bookmarkStart w:id="23" w:name="_Hlk11828598"/>
      <w:r>
        <w:rPr>
          <w:rFonts w:ascii="Times New Roman" w:hAnsi="Times New Roman" w:cs="Times New Roman"/>
          <w:sz w:val="24"/>
          <w:szCs w:val="24"/>
        </w:rPr>
        <w:br w:type="page"/>
      </w:r>
    </w:p>
    <w:p w14:paraId="43E488F2" w14:textId="24814FEA" w:rsidR="00DD53E0" w:rsidRDefault="00DD53E0" w:rsidP="00212CA7">
      <w:pPr>
        <w:spacing w:after="0" w:line="480" w:lineRule="auto"/>
        <w:rPr>
          <w:rFonts w:ascii="Times New Roman" w:hAnsi="Times New Roman" w:cs="Times New Roman"/>
          <w:sz w:val="24"/>
          <w:szCs w:val="24"/>
        </w:rPr>
      </w:pPr>
      <w:r w:rsidRPr="00F555AD">
        <w:rPr>
          <w:rFonts w:ascii="Times New Roman" w:hAnsi="Times New Roman" w:cs="Times New Roman"/>
          <w:sz w:val="24"/>
          <w:szCs w:val="24"/>
        </w:rPr>
        <w:lastRenderedPageBreak/>
        <w:t>Nel caso il MMG ricorra a tecniche di imaging per confermare la diagnosi di AGC, la scelta ricadeva sull’ecografia dell’arteria temporale per 16/61 (26,2%) MMG, sulla TC o RM per 15 (24,6%), e sulla PET associata all’ecografia per un solo MMG (1,6%). Ventinove MMG confermavano di non utilizzare tecniche di imaging nei pazienti con AGC</w:t>
      </w:r>
      <w:r>
        <w:rPr>
          <w:rFonts w:ascii="Times New Roman" w:hAnsi="Times New Roman" w:cs="Times New Roman"/>
          <w:sz w:val="24"/>
          <w:szCs w:val="24"/>
        </w:rPr>
        <w:t xml:space="preserve"> </w:t>
      </w:r>
      <w:bookmarkEnd w:id="23"/>
      <w:r w:rsidRPr="00CA4158">
        <w:rPr>
          <w:rFonts w:ascii="Times New Roman" w:hAnsi="Times New Roman" w:cs="Times New Roman"/>
          <w:sz w:val="24"/>
          <w:szCs w:val="24"/>
        </w:rPr>
        <w:t xml:space="preserve">(Figura </w:t>
      </w:r>
      <w:r w:rsidR="00C86E51" w:rsidRPr="00CA4158">
        <w:rPr>
          <w:rFonts w:ascii="Times New Roman" w:hAnsi="Times New Roman" w:cs="Times New Roman"/>
          <w:sz w:val="24"/>
          <w:szCs w:val="24"/>
        </w:rPr>
        <w:t>1</w:t>
      </w:r>
      <w:r w:rsidR="00584E8B" w:rsidRPr="00CA4158">
        <w:rPr>
          <w:rFonts w:ascii="Times New Roman" w:hAnsi="Times New Roman" w:cs="Times New Roman"/>
          <w:sz w:val="24"/>
          <w:szCs w:val="24"/>
        </w:rPr>
        <w:t>6</w:t>
      </w:r>
      <w:r w:rsidRPr="00CA4158">
        <w:rPr>
          <w:rFonts w:ascii="Times New Roman" w:hAnsi="Times New Roman" w:cs="Times New Roman"/>
          <w:sz w:val="24"/>
          <w:szCs w:val="24"/>
        </w:rPr>
        <w:t>).</w:t>
      </w:r>
    </w:p>
    <w:p w14:paraId="316695B7" w14:textId="77777777" w:rsidR="00ED4079" w:rsidRPr="00F555AD" w:rsidRDefault="00ED4079" w:rsidP="00ED4079">
      <w:pPr>
        <w:spacing w:after="0" w:line="360" w:lineRule="auto"/>
        <w:rPr>
          <w:rFonts w:ascii="Times New Roman" w:hAnsi="Times New Roman" w:cs="Times New Roman"/>
          <w:sz w:val="24"/>
          <w:szCs w:val="24"/>
        </w:rPr>
      </w:pPr>
    </w:p>
    <w:p w14:paraId="478A533D" w14:textId="77777777" w:rsidR="00ED4079" w:rsidRDefault="00ED4079" w:rsidP="00ED4079">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4D6C535B" wp14:editId="4FC6A728">
            <wp:extent cx="4739640" cy="3429000"/>
            <wp:effectExtent l="0" t="0" r="0" b="0"/>
            <wp:docPr id="12" name="Grafico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3AAD11-0BD2-4B26-90E1-3FC39079E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A8291F" w14:textId="77777777" w:rsidR="00DD53E0" w:rsidRPr="00702118" w:rsidRDefault="00DD53E0" w:rsidP="00ED4079">
      <w:pPr>
        <w:spacing w:after="0" w:line="360" w:lineRule="auto"/>
        <w:rPr>
          <w:rFonts w:ascii="Times New Roman" w:hAnsi="Times New Roman" w:cs="Times New Roman"/>
          <w:sz w:val="20"/>
          <w:szCs w:val="20"/>
        </w:rPr>
      </w:pPr>
      <w:r w:rsidRPr="00702118">
        <w:rPr>
          <w:rFonts w:ascii="Times New Roman" w:hAnsi="Times New Roman" w:cs="Times New Roman"/>
          <w:b/>
          <w:sz w:val="20"/>
          <w:szCs w:val="20"/>
        </w:rPr>
        <w:t xml:space="preserve">Figura </w:t>
      </w:r>
      <w:r w:rsidR="00C86E51" w:rsidRPr="00702118">
        <w:rPr>
          <w:rFonts w:ascii="Times New Roman" w:hAnsi="Times New Roman" w:cs="Times New Roman"/>
          <w:b/>
          <w:sz w:val="20"/>
          <w:szCs w:val="20"/>
        </w:rPr>
        <w:t>1</w:t>
      </w:r>
      <w:r w:rsidR="00584E8B" w:rsidRPr="00702118">
        <w:rPr>
          <w:rFonts w:ascii="Times New Roman" w:hAnsi="Times New Roman" w:cs="Times New Roman"/>
          <w:b/>
          <w:sz w:val="20"/>
          <w:szCs w:val="20"/>
        </w:rPr>
        <w:t>6</w:t>
      </w:r>
      <w:r w:rsidRPr="00702118">
        <w:rPr>
          <w:rFonts w:ascii="Times New Roman" w:hAnsi="Times New Roman" w:cs="Times New Roman"/>
          <w:b/>
          <w:sz w:val="20"/>
          <w:szCs w:val="20"/>
        </w:rPr>
        <w:t>.</w:t>
      </w:r>
      <w:r w:rsidRPr="00702118">
        <w:rPr>
          <w:rFonts w:ascii="Times New Roman" w:hAnsi="Times New Roman" w:cs="Times New Roman"/>
          <w:sz w:val="20"/>
          <w:szCs w:val="20"/>
        </w:rPr>
        <w:t xml:space="preserve"> Tecnica di imaging </w:t>
      </w:r>
      <w:r w:rsidR="0091417C" w:rsidRPr="00702118">
        <w:rPr>
          <w:rFonts w:ascii="Times New Roman" w:hAnsi="Times New Roman" w:cs="Times New Roman"/>
          <w:sz w:val="20"/>
          <w:szCs w:val="20"/>
        </w:rPr>
        <w:t>di scelta</w:t>
      </w:r>
    </w:p>
    <w:p w14:paraId="6E3E5B8E" w14:textId="77777777" w:rsidR="0091417C" w:rsidRDefault="0091417C" w:rsidP="00ED4079">
      <w:pPr>
        <w:spacing w:after="0" w:line="360" w:lineRule="auto"/>
        <w:rPr>
          <w:rFonts w:ascii="Times New Roman" w:hAnsi="Times New Roman" w:cs="Times New Roman"/>
          <w:color w:val="FF0000"/>
          <w:sz w:val="24"/>
          <w:szCs w:val="24"/>
        </w:rPr>
      </w:pPr>
    </w:p>
    <w:p w14:paraId="694B59DC" w14:textId="77777777" w:rsidR="0091417C" w:rsidRPr="00F555AD" w:rsidRDefault="0091417C" w:rsidP="00212CA7">
      <w:pPr>
        <w:spacing w:after="0" w:line="480" w:lineRule="auto"/>
        <w:rPr>
          <w:rFonts w:ascii="Times New Roman" w:hAnsi="Times New Roman" w:cs="Times New Roman"/>
          <w:sz w:val="24"/>
          <w:szCs w:val="24"/>
        </w:rPr>
      </w:pPr>
      <w:bookmarkStart w:id="24" w:name="_Hlk11828621"/>
      <w:r w:rsidRPr="00F555AD">
        <w:rPr>
          <w:rFonts w:ascii="Times New Roman" w:hAnsi="Times New Roman" w:cs="Times New Roman"/>
          <w:sz w:val="24"/>
          <w:szCs w:val="24"/>
        </w:rPr>
        <w:t>Lo specialista di riferimento cui inviare il paziente con sospetta AGC era il reumatologo per 50/73 (68,5%) MMG, l’immunologo per 3 (4,1%), l’internista per 5 (6,8%), ed il neurologo per 9 (12,3%). Infine, 5 (6,8%) MMG indicavano di non inviare il paziente ad alcuno specialista ma di provvedere essi stessi alla gestione del paziente</w:t>
      </w:r>
      <w:bookmarkEnd w:id="24"/>
      <w:r w:rsidR="005A6840">
        <w:rPr>
          <w:rFonts w:ascii="Times New Roman" w:hAnsi="Times New Roman" w:cs="Times New Roman"/>
          <w:sz w:val="24"/>
          <w:szCs w:val="24"/>
        </w:rPr>
        <w:t>.</w:t>
      </w:r>
      <w:r w:rsidR="005A6840" w:rsidRPr="005A6840">
        <w:rPr>
          <w:rFonts w:ascii="Times New Roman" w:hAnsi="Times New Roman" w:cs="Times New Roman"/>
          <w:sz w:val="24"/>
          <w:szCs w:val="24"/>
        </w:rPr>
        <w:t xml:space="preserve"> </w:t>
      </w:r>
      <w:r w:rsidR="005A6840" w:rsidRPr="00F555AD">
        <w:rPr>
          <w:rFonts w:ascii="Times New Roman" w:hAnsi="Times New Roman" w:cs="Times New Roman"/>
          <w:sz w:val="24"/>
          <w:szCs w:val="24"/>
        </w:rPr>
        <w:t xml:space="preserve">L’oculista non veniva mai menzionato come singolo specialista di riferimento, ma in tre casi viene citato insieme al reumatologo, all’internista, o alla combinazione di </w:t>
      </w:r>
      <w:r w:rsidR="005A6840" w:rsidRPr="002F34B6">
        <w:rPr>
          <w:rFonts w:ascii="Times New Roman" w:hAnsi="Times New Roman" w:cs="Times New Roman"/>
          <w:sz w:val="24"/>
          <w:szCs w:val="24"/>
        </w:rPr>
        <w:t xml:space="preserve">entrambi </w:t>
      </w:r>
      <w:r w:rsidRPr="002F34B6">
        <w:rPr>
          <w:rFonts w:ascii="Times New Roman" w:hAnsi="Times New Roman" w:cs="Times New Roman"/>
          <w:sz w:val="24"/>
          <w:szCs w:val="24"/>
        </w:rPr>
        <w:t>(Figura 1</w:t>
      </w:r>
      <w:r w:rsidR="00584E8B" w:rsidRPr="002F34B6">
        <w:rPr>
          <w:rFonts w:ascii="Times New Roman" w:hAnsi="Times New Roman" w:cs="Times New Roman"/>
          <w:sz w:val="24"/>
          <w:szCs w:val="24"/>
        </w:rPr>
        <w:t>7</w:t>
      </w:r>
      <w:r w:rsidRPr="002F34B6">
        <w:rPr>
          <w:rFonts w:ascii="Times New Roman" w:hAnsi="Times New Roman" w:cs="Times New Roman"/>
          <w:sz w:val="24"/>
          <w:szCs w:val="24"/>
        </w:rPr>
        <w:t>).</w:t>
      </w:r>
    </w:p>
    <w:p w14:paraId="7D0BC8FD" w14:textId="6DEBF2B5" w:rsidR="0091417C" w:rsidRPr="00F555AD" w:rsidRDefault="00702118" w:rsidP="0091417C">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lastRenderedPageBreak/>
        <w:drawing>
          <wp:inline distT="0" distB="0" distL="0" distR="0" wp14:anchorId="517DF716" wp14:editId="687CE4E0">
            <wp:extent cx="4592320" cy="3027219"/>
            <wp:effectExtent l="0" t="0" r="0" b="0"/>
            <wp:docPr id="13" name="Grafico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22D270-A389-413D-8040-569ABFEA9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2A95DC" w14:textId="77777777" w:rsidR="0091417C" w:rsidRPr="00702118" w:rsidRDefault="0091417C" w:rsidP="0091417C">
      <w:pPr>
        <w:spacing w:after="0" w:line="360" w:lineRule="auto"/>
        <w:rPr>
          <w:rFonts w:ascii="Times New Roman" w:hAnsi="Times New Roman" w:cs="Times New Roman"/>
          <w:sz w:val="20"/>
          <w:szCs w:val="20"/>
        </w:rPr>
      </w:pPr>
      <w:r w:rsidRPr="00702118">
        <w:rPr>
          <w:rFonts w:ascii="Times New Roman" w:hAnsi="Times New Roman" w:cs="Times New Roman"/>
          <w:b/>
          <w:sz w:val="20"/>
          <w:szCs w:val="20"/>
        </w:rPr>
        <w:t>Figura 1</w:t>
      </w:r>
      <w:r w:rsidR="00584E8B" w:rsidRPr="00702118">
        <w:rPr>
          <w:rFonts w:ascii="Times New Roman" w:hAnsi="Times New Roman" w:cs="Times New Roman"/>
          <w:b/>
          <w:sz w:val="20"/>
          <w:szCs w:val="20"/>
        </w:rPr>
        <w:t>7</w:t>
      </w:r>
      <w:r w:rsidRPr="00702118">
        <w:rPr>
          <w:rFonts w:ascii="Times New Roman" w:hAnsi="Times New Roman" w:cs="Times New Roman"/>
          <w:b/>
          <w:sz w:val="20"/>
          <w:szCs w:val="20"/>
        </w:rPr>
        <w:t>.</w:t>
      </w:r>
      <w:r w:rsidRPr="00702118">
        <w:rPr>
          <w:rFonts w:ascii="Times New Roman" w:hAnsi="Times New Roman" w:cs="Times New Roman"/>
          <w:sz w:val="20"/>
          <w:szCs w:val="20"/>
        </w:rPr>
        <w:t xml:space="preserve"> Specialista cui viene inviato il paziente</w:t>
      </w:r>
    </w:p>
    <w:p w14:paraId="24C3EDD1" w14:textId="77777777" w:rsidR="005A6840" w:rsidRDefault="0091417C" w:rsidP="00825A2E">
      <w:pPr>
        <w:spacing w:after="0" w:line="480" w:lineRule="auto"/>
        <w:rPr>
          <w:rFonts w:ascii="Times New Roman" w:hAnsi="Times New Roman" w:cs="Times New Roman"/>
          <w:sz w:val="24"/>
          <w:szCs w:val="24"/>
        </w:rPr>
      </w:pPr>
      <w:r w:rsidRPr="00F555AD">
        <w:rPr>
          <w:rFonts w:ascii="Times New Roman" w:hAnsi="Times New Roman" w:cs="Times New Roman"/>
          <w:sz w:val="24"/>
          <w:szCs w:val="24"/>
        </w:rPr>
        <w:t xml:space="preserve"> </w:t>
      </w:r>
      <w:bookmarkStart w:id="25" w:name="_Hlk11828639"/>
    </w:p>
    <w:p w14:paraId="0B873D0D" w14:textId="77777777" w:rsidR="00212CA7" w:rsidRPr="005A6840" w:rsidRDefault="00212CA7" w:rsidP="00825A2E">
      <w:pPr>
        <w:spacing w:after="0" w:line="480" w:lineRule="auto"/>
        <w:rPr>
          <w:rFonts w:ascii="Times New Roman" w:hAnsi="Times New Roman" w:cs="Times New Roman"/>
          <w:sz w:val="24"/>
          <w:szCs w:val="24"/>
        </w:rPr>
      </w:pPr>
      <w:r w:rsidRPr="00F555AD">
        <w:rPr>
          <w:rFonts w:ascii="Times New Roman" w:hAnsi="Times New Roman" w:cs="Times New Roman"/>
          <w:sz w:val="24"/>
          <w:szCs w:val="24"/>
        </w:rPr>
        <w:t>L’inizio del trattamento del paziente era indicato al momento del primo sospetto clinico da 20/72 (27,8%) MMG, dopo il risultato degli esami di laboratorio/imaging da 24 (33,3%), e dopo avere ottenuto la consulenza specialistica da 15 (20,8%). Tredici (18,1%) MMG rispondevano di non iniziare autonomamente la terapia ma di demandarla allo specialista</w:t>
      </w:r>
      <w:r>
        <w:rPr>
          <w:rFonts w:ascii="Times New Roman" w:hAnsi="Times New Roman" w:cs="Times New Roman"/>
          <w:sz w:val="24"/>
          <w:szCs w:val="24"/>
        </w:rPr>
        <w:t xml:space="preserve"> </w:t>
      </w:r>
      <w:r w:rsidRPr="002F34B6">
        <w:rPr>
          <w:rFonts w:ascii="Times New Roman" w:hAnsi="Times New Roman" w:cs="Times New Roman"/>
          <w:sz w:val="24"/>
          <w:szCs w:val="24"/>
        </w:rPr>
        <w:t>(Figura 18).</w:t>
      </w:r>
    </w:p>
    <w:p w14:paraId="5E3DD232" w14:textId="77777777" w:rsidR="00212CA7" w:rsidRDefault="00212CA7" w:rsidP="00212CA7">
      <w:pPr>
        <w:spacing w:after="0" w:line="360" w:lineRule="auto"/>
        <w:rPr>
          <w:rFonts w:ascii="Times New Roman" w:hAnsi="Times New Roman" w:cs="Times New Roman"/>
          <w:color w:val="FF0000"/>
          <w:sz w:val="24"/>
          <w:szCs w:val="24"/>
        </w:rPr>
      </w:pPr>
    </w:p>
    <w:p w14:paraId="04B5A408" w14:textId="77777777" w:rsidR="00212CA7" w:rsidRDefault="00212CA7" w:rsidP="009464C3">
      <w:pPr>
        <w:spacing w:after="0" w:line="360" w:lineRule="auto"/>
        <w:rPr>
          <w:rFonts w:ascii="Times New Roman" w:hAnsi="Times New Roman" w:cs="Times New Roman"/>
          <w:sz w:val="24"/>
          <w:szCs w:val="24"/>
        </w:rPr>
      </w:pPr>
      <w:r w:rsidRPr="00F555AD">
        <w:rPr>
          <w:rFonts w:ascii="Times New Roman" w:hAnsi="Times New Roman" w:cs="Times New Roman"/>
          <w:noProof/>
          <w:lang w:eastAsia="it-IT"/>
        </w:rPr>
        <w:drawing>
          <wp:inline distT="0" distB="0" distL="0" distR="0" wp14:anchorId="7A46F4DB" wp14:editId="0F2C6821">
            <wp:extent cx="4495800" cy="2499360"/>
            <wp:effectExtent l="0" t="0" r="0" b="0"/>
            <wp:docPr id="14" name="Grafico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2A0A3A-B098-4441-B862-D0E41C80B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25"/>
    </w:p>
    <w:p w14:paraId="47626E8B" w14:textId="77777777" w:rsidR="00212CA7" w:rsidRPr="00702118" w:rsidRDefault="00212CA7" w:rsidP="00825A2E">
      <w:pPr>
        <w:spacing w:after="0" w:line="480" w:lineRule="auto"/>
        <w:rPr>
          <w:rFonts w:ascii="Times New Roman" w:hAnsi="Times New Roman" w:cs="Times New Roman"/>
          <w:sz w:val="20"/>
          <w:szCs w:val="20"/>
        </w:rPr>
      </w:pPr>
      <w:r w:rsidRPr="00702118">
        <w:rPr>
          <w:rFonts w:ascii="Times New Roman" w:hAnsi="Times New Roman" w:cs="Times New Roman"/>
          <w:b/>
          <w:sz w:val="20"/>
          <w:szCs w:val="20"/>
        </w:rPr>
        <w:t>Figura 18.</w:t>
      </w:r>
      <w:r w:rsidRPr="00702118">
        <w:rPr>
          <w:rFonts w:ascii="Times New Roman" w:hAnsi="Times New Roman" w:cs="Times New Roman"/>
          <w:sz w:val="20"/>
          <w:szCs w:val="20"/>
        </w:rPr>
        <w:t xml:space="preserve"> Quando iniziare la terapia per i pazienti con AGC</w:t>
      </w:r>
    </w:p>
    <w:p w14:paraId="2637A7B5" w14:textId="77777777" w:rsidR="00212CA7" w:rsidRDefault="00212CA7" w:rsidP="00825A2E">
      <w:pPr>
        <w:spacing w:after="0" w:line="480" w:lineRule="auto"/>
        <w:rPr>
          <w:rFonts w:ascii="Times New Roman" w:hAnsi="Times New Roman" w:cs="Times New Roman"/>
          <w:color w:val="FF0000"/>
          <w:sz w:val="24"/>
          <w:szCs w:val="24"/>
        </w:rPr>
      </w:pPr>
      <w:bookmarkStart w:id="26" w:name="_Hlk11828658"/>
      <w:r w:rsidRPr="00F555AD">
        <w:rPr>
          <w:rFonts w:ascii="Times New Roman" w:hAnsi="Times New Roman" w:cs="Times New Roman"/>
          <w:sz w:val="24"/>
          <w:szCs w:val="24"/>
        </w:rPr>
        <w:lastRenderedPageBreak/>
        <w:t xml:space="preserve">Per quanto riguarda la terapia utilizzata nel paziente con AGC, 26/69 (37,7%) MMG utilizzavano prednisone a dosaggio superiore a 50 mg/die e 40 (58%) dosaggi compresi tra 25 mg e 50 mg. Nessun MMG rispondeva che il dosaggio scelto era inferiore a 25 mg/die, mentre 3 riferivano di adottare provvedimenti individualizzati. Un MMG utilizzava il prednisone al dosaggio di 1 mg/kg di peso corporeo, un secondo utilizzava un dosaggio compreso tra 25 mg e 50 mg ma in associazione con FANS e acido acetilsalicilico, ed un terzo prednisone secondo lo schema indicato dal reumatologo ma tenendo conto di età e comorbidità del </w:t>
      </w:r>
      <w:r w:rsidRPr="002F34B6">
        <w:rPr>
          <w:rFonts w:ascii="Times New Roman" w:hAnsi="Times New Roman" w:cs="Times New Roman"/>
          <w:sz w:val="24"/>
          <w:szCs w:val="24"/>
        </w:rPr>
        <w:t xml:space="preserve">paziente </w:t>
      </w:r>
      <w:bookmarkEnd w:id="26"/>
      <w:r w:rsidRPr="002F34B6">
        <w:rPr>
          <w:rFonts w:ascii="Times New Roman" w:hAnsi="Times New Roman" w:cs="Times New Roman"/>
          <w:sz w:val="24"/>
          <w:szCs w:val="24"/>
        </w:rPr>
        <w:t>(Figura 19).</w:t>
      </w:r>
    </w:p>
    <w:p w14:paraId="4029A318" w14:textId="77777777" w:rsidR="00825A2E" w:rsidRPr="00825A2E" w:rsidRDefault="00825A2E" w:rsidP="00825A2E">
      <w:pPr>
        <w:spacing w:after="0" w:line="480" w:lineRule="auto"/>
        <w:rPr>
          <w:rFonts w:ascii="Times New Roman" w:hAnsi="Times New Roman" w:cs="Times New Roman"/>
          <w:noProof/>
        </w:rPr>
      </w:pPr>
    </w:p>
    <w:p w14:paraId="1862AF7B" w14:textId="77777777" w:rsidR="00825A2E" w:rsidRPr="00EB6C91" w:rsidRDefault="00212CA7" w:rsidP="00825A2E">
      <w:pPr>
        <w:spacing w:after="0" w:line="360" w:lineRule="auto"/>
        <w:rPr>
          <w:rFonts w:ascii="Times New Roman" w:hAnsi="Times New Roman" w:cs="Times New Roman"/>
          <w:sz w:val="20"/>
          <w:szCs w:val="20"/>
        </w:rPr>
      </w:pPr>
      <w:r w:rsidRPr="00F555AD">
        <w:rPr>
          <w:rFonts w:ascii="Times New Roman" w:hAnsi="Times New Roman" w:cs="Times New Roman"/>
          <w:noProof/>
          <w:lang w:eastAsia="it-IT"/>
        </w:rPr>
        <w:drawing>
          <wp:inline distT="0" distB="0" distL="0" distR="0" wp14:anchorId="35A36320" wp14:editId="581E91C0">
            <wp:extent cx="4770120" cy="3451860"/>
            <wp:effectExtent l="0" t="0" r="0" b="0"/>
            <wp:docPr id="16" name="Grafico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11FCEF-9B14-4524-8F9B-62600C6BC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25A2E" w:rsidRPr="00825A2E">
        <w:rPr>
          <w:rFonts w:ascii="Times New Roman" w:hAnsi="Times New Roman" w:cs="Times New Roman"/>
          <w:b/>
          <w:color w:val="FF0000"/>
          <w:sz w:val="24"/>
          <w:szCs w:val="24"/>
        </w:rPr>
        <w:t xml:space="preserve"> </w:t>
      </w:r>
      <w:r w:rsidR="00825A2E" w:rsidRPr="00EB6C91">
        <w:rPr>
          <w:rFonts w:ascii="Times New Roman" w:hAnsi="Times New Roman" w:cs="Times New Roman"/>
          <w:b/>
          <w:sz w:val="20"/>
          <w:szCs w:val="20"/>
        </w:rPr>
        <w:t>Figura 19.</w:t>
      </w:r>
      <w:r w:rsidR="00825A2E" w:rsidRPr="00EB6C91">
        <w:rPr>
          <w:rFonts w:ascii="Times New Roman" w:hAnsi="Times New Roman" w:cs="Times New Roman"/>
          <w:sz w:val="20"/>
          <w:szCs w:val="20"/>
        </w:rPr>
        <w:t xml:space="preserve"> Posologia della terapia con GC nel paziente con AGC</w:t>
      </w:r>
    </w:p>
    <w:p w14:paraId="1CF2BA68" w14:textId="77777777" w:rsidR="00825A2E" w:rsidRDefault="00825A2E" w:rsidP="009464C3">
      <w:pPr>
        <w:spacing w:after="0" w:line="360" w:lineRule="auto"/>
        <w:rPr>
          <w:rFonts w:ascii="Times New Roman" w:hAnsi="Times New Roman" w:cs="Times New Roman"/>
          <w:sz w:val="24"/>
          <w:szCs w:val="24"/>
        </w:rPr>
      </w:pPr>
    </w:p>
    <w:p w14:paraId="26E5EE84" w14:textId="77777777" w:rsidR="00994B5F" w:rsidRDefault="00994B5F" w:rsidP="009464C3">
      <w:pPr>
        <w:spacing w:after="0" w:line="360" w:lineRule="auto"/>
        <w:rPr>
          <w:rFonts w:ascii="Times New Roman" w:hAnsi="Times New Roman" w:cs="Times New Roman"/>
          <w:sz w:val="24"/>
          <w:szCs w:val="24"/>
        </w:rPr>
      </w:pPr>
    </w:p>
    <w:p w14:paraId="5DFC0369" w14:textId="77777777" w:rsidR="00994B5F" w:rsidRDefault="00994B5F" w:rsidP="009464C3">
      <w:pPr>
        <w:spacing w:after="0" w:line="360" w:lineRule="auto"/>
        <w:rPr>
          <w:rFonts w:ascii="Times New Roman" w:hAnsi="Times New Roman" w:cs="Times New Roman"/>
          <w:sz w:val="24"/>
          <w:szCs w:val="24"/>
        </w:rPr>
      </w:pPr>
    </w:p>
    <w:p w14:paraId="281BBB99" w14:textId="77777777" w:rsidR="00994B5F" w:rsidRDefault="00994B5F" w:rsidP="009464C3">
      <w:pPr>
        <w:spacing w:after="0" w:line="360" w:lineRule="auto"/>
        <w:rPr>
          <w:rFonts w:ascii="Times New Roman" w:hAnsi="Times New Roman" w:cs="Times New Roman"/>
          <w:sz w:val="24"/>
          <w:szCs w:val="24"/>
        </w:rPr>
      </w:pPr>
    </w:p>
    <w:p w14:paraId="4AF89800" w14:textId="77777777" w:rsidR="00994B5F" w:rsidRDefault="00994B5F" w:rsidP="009464C3">
      <w:pPr>
        <w:spacing w:after="0" w:line="360" w:lineRule="auto"/>
        <w:rPr>
          <w:rFonts w:ascii="Times New Roman" w:hAnsi="Times New Roman" w:cs="Times New Roman"/>
          <w:sz w:val="24"/>
          <w:szCs w:val="24"/>
        </w:rPr>
      </w:pPr>
    </w:p>
    <w:p w14:paraId="3DEC136A" w14:textId="77777777" w:rsidR="00994B5F" w:rsidRPr="00994B5F" w:rsidRDefault="00994B5F" w:rsidP="00CE522C">
      <w:pPr>
        <w:pStyle w:val="Titolo2"/>
        <w:rPr>
          <w:rFonts w:ascii="Times New Roman" w:hAnsi="Times New Roman" w:cs="Times New Roman"/>
          <w:color w:val="auto"/>
          <w:sz w:val="28"/>
          <w:szCs w:val="28"/>
        </w:rPr>
      </w:pPr>
      <w:bookmarkStart w:id="27" w:name="_Toc12908079"/>
      <w:r w:rsidRPr="00994B5F">
        <w:rPr>
          <w:rFonts w:ascii="Times New Roman" w:hAnsi="Times New Roman" w:cs="Times New Roman"/>
          <w:color w:val="auto"/>
          <w:sz w:val="28"/>
          <w:szCs w:val="28"/>
        </w:rPr>
        <w:lastRenderedPageBreak/>
        <w:t>3.3 Valutazione statistica</w:t>
      </w:r>
      <w:bookmarkEnd w:id="27"/>
      <w:r w:rsidRPr="00994B5F">
        <w:rPr>
          <w:rFonts w:ascii="Times New Roman" w:hAnsi="Times New Roman" w:cs="Times New Roman"/>
          <w:color w:val="auto"/>
          <w:sz w:val="28"/>
          <w:szCs w:val="28"/>
        </w:rPr>
        <w:t xml:space="preserve"> </w:t>
      </w:r>
    </w:p>
    <w:p w14:paraId="24B19410" w14:textId="77777777" w:rsidR="00994B5F" w:rsidRDefault="00994B5F" w:rsidP="00825A2E">
      <w:pPr>
        <w:spacing w:after="0" w:line="480" w:lineRule="auto"/>
        <w:rPr>
          <w:rFonts w:ascii="Times New Roman" w:hAnsi="Times New Roman" w:cs="Times New Roman"/>
          <w:sz w:val="24"/>
          <w:szCs w:val="24"/>
        </w:rPr>
      </w:pPr>
    </w:p>
    <w:p w14:paraId="4B89F963" w14:textId="77777777" w:rsidR="00825A2E" w:rsidRPr="00825A2E" w:rsidRDefault="00825A2E" w:rsidP="00825A2E">
      <w:pPr>
        <w:spacing w:after="0" w:line="480" w:lineRule="auto"/>
        <w:rPr>
          <w:rFonts w:ascii="Times New Roman" w:hAnsi="Times New Roman" w:cs="Times New Roman"/>
          <w:color w:val="FF0000"/>
          <w:sz w:val="24"/>
          <w:szCs w:val="24"/>
        </w:rPr>
      </w:pPr>
      <w:r w:rsidRPr="00F555AD">
        <w:rPr>
          <w:rFonts w:ascii="Times New Roman" w:hAnsi="Times New Roman" w:cs="Times New Roman"/>
          <w:sz w:val="24"/>
          <w:szCs w:val="24"/>
        </w:rPr>
        <w:t>La possibile influenza degli anni di servizio come MMG e le risposte date al questionario sono state valutate con il test di Kruskall-W</w:t>
      </w:r>
      <w:r w:rsidR="00431A84">
        <w:rPr>
          <w:rFonts w:ascii="Times New Roman" w:hAnsi="Times New Roman" w:cs="Times New Roman"/>
          <w:sz w:val="24"/>
          <w:szCs w:val="24"/>
        </w:rPr>
        <w:t>a</w:t>
      </w:r>
      <w:r w:rsidRPr="00F555AD">
        <w:rPr>
          <w:rFonts w:ascii="Times New Roman" w:hAnsi="Times New Roman" w:cs="Times New Roman"/>
          <w:sz w:val="24"/>
          <w:szCs w:val="24"/>
        </w:rPr>
        <w:t>llis. Non vi era differenza, a seconda degli anni di attività, nella incidenza della AGC (p=0,43), nella  prevalenza della stessa (p=0,21), nell’età alla diagnosi (p=0,20), nei sintomi di esordio (p=0,53), negli esami richiesti (p=0.25), nei criteri utilizzati per la diagnosi (p=0,89), nella richiesta di esami per immagini (p=0,055), nell’invio a consulto specialistico del paziente (p=0,74), nella scelta di quando iniziare la terapia (p=0,56) e nel suo dosaggio (0.14). Parimenti, anche il numero degli assistiti non influenzava le risposte riguardanti l’ incidenza della AGC (p=0,42), nella  prevalenza della stessa (p=0,67), nell’età alla diagnosi (p=0,68), nei sintomi di esordio (p=0,87), negli esami richiesti (p=0.49), nei criteri utilizzati per la diagnosi (p=0,58), nella richiesta di esami per immagini (p=0,68), nell’invio a consulto specialistico del paziente (p=0,84), nella scelta di quando iniziare la terapia (p=0</w:t>
      </w:r>
      <w:r w:rsidRPr="00825A2E">
        <w:rPr>
          <w:rFonts w:ascii="Times New Roman" w:hAnsi="Times New Roman" w:cs="Times New Roman"/>
          <w:sz w:val="24"/>
          <w:szCs w:val="24"/>
        </w:rPr>
        <w:t xml:space="preserve"> </w:t>
      </w:r>
      <w:r w:rsidRPr="00F555AD">
        <w:rPr>
          <w:rFonts w:ascii="Times New Roman" w:hAnsi="Times New Roman" w:cs="Times New Roman"/>
          <w:sz w:val="24"/>
          <w:szCs w:val="24"/>
        </w:rPr>
        <w:t>,76) e nel suo dosaggio (0.73)</w:t>
      </w:r>
      <w:r>
        <w:rPr>
          <w:rFonts w:ascii="Times New Roman" w:hAnsi="Times New Roman" w:cs="Times New Roman"/>
          <w:sz w:val="24"/>
          <w:szCs w:val="24"/>
        </w:rPr>
        <w:t>.</w:t>
      </w:r>
      <w:r w:rsidRPr="00825A2E">
        <w:rPr>
          <w:rFonts w:ascii="Times New Roman" w:hAnsi="Times New Roman" w:cs="Times New Roman"/>
          <w:sz w:val="24"/>
          <w:szCs w:val="24"/>
        </w:rPr>
        <w:t xml:space="preserve"> </w:t>
      </w:r>
    </w:p>
    <w:p w14:paraId="07312110" w14:textId="77777777" w:rsidR="00825A2E" w:rsidRDefault="00825A2E" w:rsidP="00825A2E">
      <w:pPr>
        <w:spacing w:after="0" w:line="480" w:lineRule="auto"/>
        <w:rPr>
          <w:rFonts w:ascii="Times New Roman" w:hAnsi="Times New Roman" w:cs="Times New Roman"/>
          <w:sz w:val="24"/>
          <w:szCs w:val="24"/>
        </w:rPr>
      </w:pPr>
      <w:r w:rsidRPr="00F555AD">
        <w:rPr>
          <w:rFonts w:ascii="Times New Roman" w:hAnsi="Times New Roman" w:cs="Times New Roman"/>
          <w:sz w:val="24"/>
          <w:szCs w:val="24"/>
        </w:rPr>
        <w:t>L’unico confronto che si avvicina alla significatività statistica è quello tra anni di attività come MMG e tipo di esame per immagini richiesto. I MMG con una attività maggiore di 20 anni richiedevano meno frequentemente esami per immagini, basandosi probabilmente più sulla loro esperienza.</w:t>
      </w:r>
    </w:p>
    <w:p w14:paraId="02CE0AFA" w14:textId="77777777" w:rsidR="00825A2E" w:rsidRPr="002F34B6" w:rsidRDefault="00825A2E" w:rsidP="00825A2E">
      <w:pPr>
        <w:spacing w:after="0" w:line="480" w:lineRule="auto"/>
        <w:rPr>
          <w:rFonts w:ascii="Times New Roman" w:hAnsi="Times New Roman" w:cs="Times New Roman"/>
          <w:sz w:val="24"/>
          <w:szCs w:val="24"/>
        </w:rPr>
      </w:pPr>
      <w:r w:rsidRPr="002F34B6">
        <w:rPr>
          <w:rFonts w:ascii="Times New Roman" w:hAnsi="Times New Roman" w:cs="Times New Roman"/>
          <w:sz w:val="24"/>
          <w:szCs w:val="24"/>
        </w:rPr>
        <w:t xml:space="preserve">Su un totale di 59 medici con esperienza lavorativa superiore ai 20 anni, 23 dichiarava di non richiedere esami di imaging per la diagnosi di AGC e 10 non indicavano alcun esame di scelta, dunque </w:t>
      </w:r>
      <w:r w:rsidR="00F21E74" w:rsidRPr="002F34B6">
        <w:rPr>
          <w:rFonts w:ascii="Times New Roman" w:hAnsi="Times New Roman" w:cs="Times New Roman"/>
          <w:sz w:val="24"/>
          <w:szCs w:val="24"/>
        </w:rPr>
        <w:t>23</w:t>
      </w:r>
      <w:r w:rsidRPr="002F34B6">
        <w:rPr>
          <w:rFonts w:ascii="Times New Roman" w:hAnsi="Times New Roman" w:cs="Times New Roman"/>
          <w:sz w:val="24"/>
          <w:szCs w:val="24"/>
        </w:rPr>
        <w:t>/59 (</w:t>
      </w:r>
      <w:r w:rsidR="00F21E74" w:rsidRPr="002F34B6">
        <w:rPr>
          <w:rFonts w:ascii="Times New Roman" w:hAnsi="Times New Roman" w:cs="Times New Roman"/>
          <w:sz w:val="24"/>
          <w:szCs w:val="24"/>
        </w:rPr>
        <w:t>38</w:t>
      </w:r>
      <w:r w:rsidRPr="002F34B6">
        <w:rPr>
          <w:rFonts w:ascii="Times New Roman" w:hAnsi="Times New Roman" w:cs="Times New Roman"/>
          <w:sz w:val="24"/>
          <w:szCs w:val="24"/>
        </w:rPr>
        <w:t>,9</w:t>
      </w:r>
      <w:r w:rsidR="00F21E74" w:rsidRPr="002F34B6">
        <w:rPr>
          <w:rFonts w:ascii="Times New Roman" w:hAnsi="Times New Roman" w:cs="Times New Roman"/>
          <w:sz w:val="24"/>
          <w:szCs w:val="24"/>
        </w:rPr>
        <w:t>8</w:t>
      </w:r>
      <w:r w:rsidRPr="002F34B6">
        <w:rPr>
          <w:rFonts w:ascii="Times New Roman" w:hAnsi="Times New Roman" w:cs="Times New Roman"/>
          <w:sz w:val="24"/>
          <w:szCs w:val="24"/>
        </w:rPr>
        <w:t>%) non si affidavano alla diagnostica per immagini.</w:t>
      </w:r>
    </w:p>
    <w:p w14:paraId="3587DA15" w14:textId="77777777" w:rsidR="00825A2E" w:rsidRPr="002F34B6" w:rsidRDefault="00825A2E" w:rsidP="00825A2E">
      <w:pPr>
        <w:spacing w:after="0" w:line="480" w:lineRule="auto"/>
        <w:rPr>
          <w:noProof/>
        </w:rPr>
      </w:pPr>
      <w:r w:rsidRPr="002F34B6">
        <w:rPr>
          <w:rFonts w:ascii="Times New Roman" w:hAnsi="Times New Roman" w:cs="Times New Roman"/>
          <w:sz w:val="24"/>
          <w:szCs w:val="24"/>
        </w:rPr>
        <w:lastRenderedPageBreak/>
        <w:t>Nel gruppo di MMG con attività lavorativa inferiore ai venti anni, composto da 14 medici, 6/14 (42,85%) dichiaravano di non utilizzare alcuna tecnica di imaging per la loro diagnosi e 2 soggetti si astenevano dalla risposta</w:t>
      </w:r>
      <w:r w:rsidR="00F21E74" w:rsidRPr="002F34B6">
        <w:rPr>
          <w:rFonts w:ascii="Times New Roman" w:hAnsi="Times New Roman" w:cs="Times New Roman"/>
          <w:sz w:val="24"/>
          <w:szCs w:val="24"/>
        </w:rPr>
        <w:t xml:space="preserve"> </w:t>
      </w:r>
      <w:r w:rsidRPr="002F34B6">
        <w:rPr>
          <w:rFonts w:ascii="Times New Roman" w:hAnsi="Times New Roman" w:cs="Times New Roman"/>
          <w:sz w:val="24"/>
          <w:szCs w:val="24"/>
        </w:rPr>
        <w:t>(Figura 20).</w:t>
      </w:r>
      <w:r w:rsidRPr="002F34B6">
        <w:rPr>
          <w:noProof/>
        </w:rPr>
        <w:t xml:space="preserve"> </w:t>
      </w:r>
    </w:p>
    <w:p w14:paraId="37C6397D" w14:textId="77777777" w:rsidR="00825A2E" w:rsidRDefault="00980820" w:rsidP="00825A2E">
      <w:pPr>
        <w:spacing w:after="0" w:line="360" w:lineRule="auto"/>
        <w:rPr>
          <w:rFonts w:ascii="Times New Roman" w:hAnsi="Times New Roman" w:cs="Times New Roman"/>
          <w:color w:val="FF0000"/>
          <w:sz w:val="24"/>
          <w:szCs w:val="24"/>
        </w:rPr>
      </w:pPr>
      <w:r>
        <w:rPr>
          <w:noProof/>
          <w:lang w:eastAsia="it-IT"/>
        </w:rPr>
        <w:drawing>
          <wp:inline distT="0" distB="0" distL="0" distR="0" wp14:anchorId="27CA4566" wp14:editId="15D51AF2">
            <wp:extent cx="4572000" cy="3869872"/>
            <wp:effectExtent l="0" t="0" r="0" b="0"/>
            <wp:docPr id="6" name="Grafic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1A601C-E43E-4AF3-AB2E-B03F3D517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98436E" w14:textId="77777777" w:rsidR="00825A2E" w:rsidRPr="001953E4" w:rsidRDefault="00825A2E" w:rsidP="00825A2E">
      <w:pPr>
        <w:spacing w:after="0" w:line="360" w:lineRule="auto"/>
        <w:rPr>
          <w:rFonts w:ascii="Times New Roman" w:hAnsi="Times New Roman" w:cs="Times New Roman"/>
          <w:sz w:val="20"/>
          <w:szCs w:val="20"/>
        </w:rPr>
      </w:pPr>
      <w:r w:rsidRPr="001953E4">
        <w:rPr>
          <w:rFonts w:ascii="Times New Roman" w:hAnsi="Times New Roman" w:cs="Times New Roman"/>
          <w:b/>
          <w:sz w:val="20"/>
          <w:szCs w:val="20"/>
        </w:rPr>
        <w:t>Figura 20.</w:t>
      </w:r>
      <w:r w:rsidRPr="001953E4">
        <w:rPr>
          <w:rFonts w:ascii="Times New Roman" w:hAnsi="Times New Roman" w:cs="Times New Roman"/>
          <w:sz w:val="20"/>
          <w:szCs w:val="20"/>
        </w:rPr>
        <w:t xml:space="preserve"> MMG che non richiedono esami per immagini</w:t>
      </w:r>
    </w:p>
    <w:p w14:paraId="4E5FB6B1" w14:textId="77777777" w:rsidR="00825A2E" w:rsidRPr="002F34B6" w:rsidRDefault="00825A2E" w:rsidP="00825A2E">
      <w:pPr>
        <w:spacing w:after="0" w:line="360" w:lineRule="auto"/>
        <w:rPr>
          <w:rFonts w:ascii="Times New Roman" w:hAnsi="Times New Roman" w:cs="Times New Roman"/>
          <w:color w:val="FF0000"/>
          <w:sz w:val="24"/>
          <w:szCs w:val="24"/>
        </w:rPr>
      </w:pPr>
    </w:p>
    <w:p w14:paraId="48F07513" w14:textId="77777777" w:rsidR="00825A2E" w:rsidRPr="002F34B6" w:rsidRDefault="00825A2E" w:rsidP="00825A2E">
      <w:pPr>
        <w:spacing w:after="0" w:line="480" w:lineRule="auto"/>
        <w:rPr>
          <w:rFonts w:ascii="Times New Roman" w:hAnsi="Times New Roman" w:cs="Times New Roman"/>
          <w:sz w:val="24"/>
          <w:szCs w:val="24"/>
        </w:rPr>
      </w:pPr>
      <w:r w:rsidRPr="002F34B6">
        <w:rPr>
          <w:rFonts w:ascii="Times New Roman" w:hAnsi="Times New Roman" w:cs="Times New Roman"/>
          <w:sz w:val="24"/>
          <w:szCs w:val="24"/>
        </w:rPr>
        <w:t xml:space="preserve"> Il gruppo di MMG con attività lavorativa superiore ai 20 anni era composto da 33 medici con oltre 30 anni di attività e 26 con un periodo di attività compreso fra i 21 e i 30 anni, nello specifico gli esami per immagini erano meno richiesti dagli MMG appartenenti a questo seconda fascia di attività lavorativa (21-30 anni).</w:t>
      </w:r>
    </w:p>
    <w:p w14:paraId="4BC82C66" w14:textId="77777777" w:rsidR="00212CA7" w:rsidRPr="002F34B6" w:rsidRDefault="00825A2E" w:rsidP="00825A2E">
      <w:pPr>
        <w:spacing w:after="0" w:line="480" w:lineRule="auto"/>
        <w:rPr>
          <w:rFonts w:ascii="Times New Roman" w:hAnsi="Times New Roman" w:cs="Times New Roman"/>
          <w:sz w:val="24"/>
          <w:szCs w:val="24"/>
        </w:rPr>
        <w:sectPr w:rsidR="00212CA7" w:rsidRPr="002F34B6" w:rsidSect="0042691B">
          <w:footerReference w:type="default" r:id="rId31"/>
          <w:pgSz w:w="11906" w:h="16838"/>
          <w:pgMar w:top="1418" w:right="1418" w:bottom="1985" w:left="2552" w:header="57" w:footer="709" w:gutter="0"/>
          <w:cols w:space="708"/>
          <w:docGrid w:linePitch="360"/>
        </w:sectPr>
      </w:pPr>
      <w:r w:rsidRPr="002F34B6">
        <w:rPr>
          <w:rFonts w:ascii="Times New Roman" w:hAnsi="Times New Roman" w:cs="Times New Roman"/>
          <w:sz w:val="24"/>
          <w:szCs w:val="24"/>
        </w:rPr>
        <w:t xml:space="preserve">Nello specifico la diagnostica </w:t>
      </w:r>
      <w:r w:rsidR="002F0A33" w:rsidRPr="002F34B6">
        <w:rPr>
          <w:rFonts w:ascii="Times New Roman" w:hAnsi="Times New Roman" w:cs="Times New Roman"/>
          <w:sz w:val="24"/>
          <w:szCs w:val="24"/>
        </w:rPr>
        <w:t xml:space="preserve">per immagini, </w:t>
      </w:r>
      <w:r w:rsidR="00FA6C0A" w:rsidRPr="002F34B6">
        <w:rPr>
          <w:rFonts w:ascii="Times New Roman" w:hAnsi="Times New Roman" w:cs="Times New Roman"/>
          <w:sz w:val="24"/>
          <w:szCs w:val="24"/>
        </w:rPr>
        <w:t>nel gruppo di MMG attivi da oltre 30 anni</w:t>
      </w:r>
      <w:r w:rsidR="002F0A33" w:rsidRPr="002F34B6">
        <w:rPr>
          <w:rFonts w:ascii="Times New Roman" w:hAnsi="Times New Roman" w:cs="Times New Roman"/>
          <w:sz w:val="24"/>
          <w:szCs w:val="24"/>
        </w:rPr>
        <w:t xml:space="preserve">, </w:t>
      </w:r>
      <w:r w:rsidRPr="002F34B6">
        <w:rPr>
          <w:rFonts w:ascii="Times New Roman" w:hAnsi="Times New Roman" w:cs="Times New Roman"/>
          <w:sz w:val="24"/>
          <w:szCs w:val="24"/>
        </w:rPr>
        <w:t xml:space="preserve">non era richiesta da </w:t>
      </w:r>
      <w:r w:rsidR="00FA6C0A" w:rsidRPr="002F34B6">
        <w:rPr>
          <w:rFonts w:ascii="Times New Roman" w:hAnsi="Times New Roman" w:cs="Times New Roman"/>
          <w:sz w:val="24"/>
          <w:szCs w:val="24"/>
        </w:rPr>
        <w:t>9</w:t>
      </w:r>
      <w:r w:rsidRPr="002F34B6">
        <w:rPr>
          <w:rFonts w:ascii="Times New Roman" w:hAnsi="Times New Roman" w:cs="Times New Roman"/>
          <w:sz w:val="24"/>
          <w:szCs w:val="24"/>
        </w:rPr>
        <w:t xml:space="preserve"> (</w:t>
      </w:r>
      <w:r w:rsidR="00FA6C0A" w:rsidRPr="002F34B6">
        <w:rPr>
          <w:rFonts w:ascii="Times New Roman" w:hAnsi="Times New Roman" w:cs="Times New Roman"/>
          <w:sz w:val="24"/>
          <w:szCs w:val="24"/>
        </w:rPr>
        <w:t>27,27</w:t>
      </w:r>
      <w:r w:rsidRPr="002F34B6">
        <w:rPr>
          <w:rFonts w:ascii="Times New Roman" w:hAnsi="Times New Roman" w:cs="Times New Roman"/>
          <w:sz w:val="24"/>
          <w:szCs w:val="24"/>
        </w:rPr>
        <w:t xml:space="preserve">%) medici dei 33 </w:t>
      </w:r>
      <w:r w:rsidR="00FA6C0A" w:rsidRPr="002F34B6">
        <w:rPr>
          <w:rFonts w:ascii="Times New Roman" w:hAnsi="Times New Roman" w:cs="Times New Roman"/>
          <w:sz w:val="24"/>
          <w:szCs w:val="24"/>
        </w:rPr>
        <w:t>mentr</w:t>
      </w:r>
      <w:r w:rsidRPr="002F34B6">
        <w:rPr>
          <w:rFonts w:ascii="Times New Roman" w:hAnsi="Times New Roman" w:cs="Times New Roman"/>
          <w:sz w:val="24"/>
          <w:szCs w:val="24"/>
        </w:rPr>
        <w:t>e 4 non indica</w:t>
      </w:r>
      <w:r w:rsidR="00621176">
        <w:rPr>
          <w:rFonts w:ascii="Times New Roman" w:hAnsi="Times New Roman" w:cs="Times New Roman"/>
          <w:sz w:val="24"/>
          <w:szCs w:val="24"/>
        </w:rPr>
        <w:t>va</w:t>
      </w:r>
      <w:r w:rsidRPr="002F34B6">
        <w:rPr>
          <w:rFonts w:ascii="Times New Roman" w:hAnsi="Times New Roman" w:cs="Times New Roman"/>
          <w:sz w:val="24"/>
          <w:szCs w:val="24"/>
        </w:rPr>
        <w:t xml:space="preserve">no alcuna tecnica di scelta, </w:t>
      </w:r>
      <w:r w:rsidR="00E20BCC" w:rsidRPr="002F34B6">
        <w:rPr>
          <w:rFonts w:ascii="Times New Roman" w:hAnsi="Times New Roman" w:cs="Times New Roman"/>
          <w:sz w:val="24"/>
          <w:szCs w:val="24"/>
        </w:rPr>
        <w:t>mentre</w:t>
      </w:r>
      <w:r w:rsidRPr="002F34B6">
        <w:rPr>
          <w:rFonts w:ascii="Times New Roman" w:hAnsi="Times New Roman" w:cs="Times New Roman"/>
          <w:sz w:val="24"/>
          <w:szCs w:val="24"/>
        </w:rPr>
        <w:t xml:space="preserve"> </w:t>
      </w:r>
      <w:r w:rsidR="00E20BCC" w:rsidRPr="002F34B6">
        <w:rPr>
          <w:rFonts w:ascii="Times New Roman" w:hAnsi="Times New Roman" w:cs="Times New Roman"/>
          <w:sz w:val="24"/>
          <w:szCs w:val="24"/>
        </w:rPr>
        <w:t xml:space="preserve">sui 26 totali con attività lavorativa compresa fra i 21 e i 30 anni </w:t>
      </w:r>
      <w:r w:rsidR="00FA6C0A" w:rsidRPr="002F34B6">
        <w:rPr>
          <w:rFonts w:ascii="Times New Roman" w:hAnsi="Times New Roman" w:cs="Times New Roman"/>
          <w:sz w:val="24"/>
          <w:szCs w:val="24"/>
        </w:rPr>
        <w:t>14</w:t>
      </w:r>
      <w:r w:rsidRPr="002F34B6">
        <w:rPr>
          <w:rFonts w:ascii="Times New Roman" w:hAnsi="Times New Roman" w:cs="Times New Roman"/>
          <w:sz w:val="24"/>
          <w:szCs w:val="24"/>
        </w:rPr>
        <w:t xml:space="preserve"> (</w:t>
      </w:r>
      <w:r w:rsidR="00FA6C0A" w:rsidRPr="002F34B6">
        <w:rPr>
          <w:rFonts w:ascii="Times New Roman" w:hAnsi="Times New Roman" w:cs="Times New Roman"/>
          <w:sz w:val="24"/>
          <w:szCs w:val="24"/>
        </w:rPr>
        <w:t>53,84</w:t>
      </w:r>
      <w:r w:rsidRPr="002F34B6">
        <w:rPr>
          <w:rFonts w:ascii="Times New Roman" w:hAnsi="Times New Roman" w:cs="Times New Roman"/>
          <w:sz w:val="24"/>
          <w:szCs w:val="24"/>
        </w:rPr>
        <w:t>%) MMG</w:t>
      </w:r>
      <w:r w:rsidR="00E20BCC" w:rsidRPr="002F34B6">
        <w:rPr>
          <w:rFonts w:ascii="Times New Roman" w:hAnsi="Times New Roman" w:cs="Times New Roman"/>
          <w:sz w:val="24"/>
          <w:szCs w:val="24"/>
        </w:rPr>
        <w:t xml:space="preserve"> dichiaravano di non usare diagnostica per immagini e</w:t>
      </w:r>
      <w:r w:rsidRPr="002F34B6">
        <w:rPr>
          <w:rFonts w:ascii="Times New Roman" w:hAnsi="Times New Roman" w:cs="Times New Roman"/>
          <w:sz w:val="24"/>
          <w:szCs w:val="24"/>
        </w:rPr>
        <w:t xml:space="preserve"> 6 non indica</w:t>
      </w:r>
      <w:r w:rsidR="00E20BCC" w:rsidRPr="002F34B6">
        <w:rPr>
          <w:rFonts w:ascii="Times New Roman" w:hAnsi="Times New Roman" w:cs="Times New Roman"/>
          <w:sz w:val="24"/>
          <w:szCs w:val="24"/>
        </w:rPr>
        <w:t>va</w:t>
      </w:r>
      <w:r w:rsidRPr="002F34B6">
        <w:rPr>
          <w:rFonts w:ascii="Times New Roman" w:hAnsi="Times New Roman" w:cs="Times New Roman"/>
          <w:sz w:val="24"/>
          <w:szCs w:val="24"/>
        </w:rPr>
        <w:t>no alcun esame di scelta (Figura 21).</w:t>
      </w:r>
    </w:p>
    <w:p w14:paraId="595C1E5E" w14:textId="77777777" w:rsidR="00467F6A" w:rsidRDefault="00A468B8" w:rsidP="00467F6A">
      <w:pPr>
        <w:spacing w:after="0" w:line="360" w:lineRule="auto"/>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t-IT"/>
        </w:rPr>
        <w:lastRenderedPageBreak/>
        <w:drawing>
          <wp:inline distT="0" distB="0" distL="0" distR="0" wp14:anchorId="2B7774EE" wp14:editId="20CD9F16">
            <wp:extent cx="4578350" cy="27559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3E05E9C5" w14:textId="77777777" w:rsidR="006B00A0" w:rsidRPr="001953E4" w:rsidRDefault="006B00A0" w:rsidP="006B00A0">
      <w:pPr>
        <w:spacing w:after="0" w:line="360" w:lineRule="auto"/>
        <w:rPr>
          <w:rFonts w:ascii="Times New Roman" w:hAnsi="Times New Roman" w:cs="Times New Roman"/>
          <w:sz w:val="20"/>
          <w:szCs w:val="20"/>
        </w:rPr>
      </w:pPr>
      <w:r w:rsidRPr="001953E4">
        <w:rPr>
          <w:rFonts w:ascii="Times New Roman" w:hAnsi="Times New Roman" w:cs="Times New Roman"/>
          <w:b/>
          <w:sz w:val="20"/>
          <w:szCs w:val="20"/>
        </w:rPr>
        <w:t>Figura 2</w:t>
      </w:r>
      <w:r w:rsidR="00584E8B" w:rsidRPr="001953E4">
        <w:rPr>
          <w:rFonts w:ascii="Times New Roman" w:hAnsi="Times New Roman" w:cs="Times New Roman"/>
          <w:b/>
          <w:sz w:val="20"/>
          <w:szCs w:val="20"/>
        </w:rPr>
        <w:t>1</w:t>
      </w:r>
      <w:r w:rsidRPr="001953E4">
        <w:rPr>
          <w:rFonts w:ascii="Times New Roman" w:hAnsi="Times New Roman" w:cs="Times New Roman"/>
          <w:b/>
          <w:sz w:val="20"/>
          <w:szCs w:val="20"/>
        </w:rPr>
        <w:t>.</w:t>
      </w:r>
      <w:r w:rsidRPr="001953E4">
        <w:rPr>
          <w:rFonts w:ascii="Times New Roman" w:hAnsi="Times New Roman" w:cs="Times New Roman"/>
          <w:sz w:val="20"/>
          <w:szCs w:val="20"/>
        </w:rPr>
        <w:t xml:space="preserve"> MMG con più di 20 anni di attività che non richiedono esami per immagini</w:t>
      </w:r>
    </w:p>
    <w:p w14:paraId="03E5FA72" w14:textId="77777777" w:rsidR="00825A2E" w:rsidRPr="002F34B6" w:rsidRDefault="00825A2E" w:rsidP="009464C3">
      <w:pPr>
        <w:spacing w:after="0" w:line="360" w:lineRule="auto"/>
        <w:rPr>
          <w:rFonts w:ascii="Times New Roman" w:hAnsi="Times New Roman" w:cs="Times New Roman"/>
          <w:b/>
          <w:sz w:val="24"/>
          <w:szCs w:val="24"/>
        </w:rPr>
      </w:pPr>
    </w:p>
    <w:p w14:paraId="28C58CA8" w14:textId="77777777" w:rsidR="00E41FCC" w:rsidRPr="002F34B6" w:rsidRDefault="001577B9" w:rsidP="00825A2E">
      <w:pPr>
        <w:spacing w:after="0" w:line="480" w:lineRule="auto"/>
        <w:rPr>
          <w:rFonts w:ascii="Times New Roman" w:hAnsi="Times New Roman" w:cs="Times New Roman"/>
          <w:sz w:val="24"/>
          <w:szCs w:val="24"/>
        </w:rPr>
      </w:pPr>
      <w:r w:rsidRPr="002F34B6">
        <w:rPr>
          <w:rFonts w:ascii="Times New Roman" w:hAnsi="Times New Roman" w:cs="Times New Roman"/>
          <w:sz w:val="24"/>
          <w:szCs w:val="24"/>
        </w:rPr>
        <w:t xml:space="preserve">Per quanto riguarda </w:t>
      </w:r>
      <w:r w:rsidR="00B8380A" w:rsidRPr="002F34B6">
        <w:rPr>
          <w:rFonts w:ascii="Times New Roman" w:hAnsi="Times New Roman" w:cs="Times New Roman"/>
          <w:sz w:val="24"/>
          <w:szCs w:val="24"/>
        </w:rPr>
        <w:t xml:space="preserve">gli MMG con meno di 20 anni di attività, </w:t>
      </w:r>
      <w:r w:rsidR="007C7B59" w:rsidRPr="002F34B6">
        <w:rPr>
          <w:rFonts w:ascii="Times New Roman" w:hAnsi="Times New Roman" w:cs="Times New Roman"/>
          <w:sz w:val="24"/>
          <w:szCs w:val="24"/>
        </w:rPr>
        <w:t>il gruppo</w:t>
      </w:r>
      <w:r w:rsidR="00E41FCC" w:rsidRPr="002F34B6">
        <w:rPr>
          <w:rFonts w:ascii="Times New Roman" w:hAnsi="Times New Roman" w:cs="Times New Roman"/>
          <w:sz w:val="24"/>
          <w:szCs w:val="24"/>
        </w:rPr>
        <w:t xml:space="preserve"> era </w:t>
      </w:r>
      <w:r w:rsidR="007C7B59" w:rsidRPr="002F34B6">
        <w:rPr>
          <w:rFonts w:ascii="Times New Roman" w:hAnsi="Times New Roman" w:cs="Times New Roman"/>
          <w:sz w:val="24"/>
          <w:szCs w:val="24"/>
        </w:rPr>
        <w:t xml:space="preserve">composto da 14 MMG, </w:t>
      </w:r>
      <w:r w:rsidR="00B8380A" w:rsidRPr="002F34B6">
        <w:rPr>
          <w:rFonts w:ascii="Times New Roman" w:hAnsi="Times New Roman" w:cs="Times New Roman"/>
          <w:sz w:val="24"/>
          <w:szCs w:val="24"/>
        </w:rPr>
        <w:t xml:space="preserve">7 </w:t>
      </w:r>
      <w:r w:rsidR="007C7B59" w:rsidRPr="002F34B6">
        <w:rPr>
          <w:rFonts w:ascii="Times New Roman" w:hAnsi="Times New Roman" w:cs="Times New Roman"/>
          <w:sz w:val="24"/>
          <w:szCs w:val="24"/>
        </w:rPr>
        <w:t>con attività lavorativa</w:t>
      </w:r>
      <w:r w:rsidR="00B8380A" w:rsidRPr="002F34B6">
        <w:rPr>
          <w:rFonts w:ascii="Times New Roman" w:hAnsi="Times New Roman" w:cs="Times New Roman"/>
          <w:sz w:val="24"/>
          <w:szCs w:val="24"/>
        </w:rPr>
        <w:t xml:space="preserve"> </w:t>
      </w:r>
      <w:r w:rsidR="0026637B" w:rsidRPr="002F34B6">
        <w:rPr>
          <w:rFonts w:ascii="Times New Roman" w:hAnsi="Times New Roman" w:cs="Times New Roman"/>
          <w:sz w:val="24"/>
          <w:szCs w:val="24"/>
        </w:rPr>
        <w:t>fra 0 e 10 anni e 7 fra gli 11 e i 20 anni</w:t>
      </w:r>
      <w:r w:rsidR="00E41FCC" w:rsidRPr="002F34B6">
        <w:rPr>
          <w:rFonts w:ascii="Times New Roman" w:hAnsi="Times New Roman" w:cs="Times New Roman"/>
          <w:sz w:val="24"/>
          <w:szCs w:val="24"/>
        </w:rPr>
        <w:t>.</w:t>
      </w:r>
    </w:p>
    <w:p w14:paraId="3DB1C713" w14:textId="77777777" w:rsidR="007C7B59" w:rsidRPr="002F34B6" w:rsidRDefault="00E41FCC" w:rsidP="00825A2E">
      <w:pPr>
        <w:spacing w:after="0" w:line="480" w:lineRule="auto"/>
        <w:rPr>
          <w:rFonts w:ascii="Times New Roman" w:hAnsi="Times New Roman" w:cs="Times New Roman"/>
          <w:sz w:val="24"/>
          <w:szCs w:val="24"/>
        </w:rPr>
      </w:pPr>
      <w:r w:rsidRPr="002F34B6">
        <w:rPr>
          <w:rFonts w:ascii="Times New Roman" w:hAnsi="Times New Roman" w:cs="Times New Roman"/>
          <w:sz w:val="24"/>
          <w:szCs w:val="24"/>
        </w:rPr>
        <w:t>In entrambi i gruppi era</w:t>
      </w:r>
      <w:r w:rsidR="006A64B5" w:rsidRPr="002F34B6">
        <w:rPr>
          <w:rFonts w:ascii="Times New Roman" w:hAnsi="Times New Roman" w:cs="Times New Roman"/>
          <w:sz w:val="24"/>
          <w:szCs w:val="24"/>
        </w:rPr>
        <w:t>no</w:t>
      </w:r>
      <w:r w:rsidRPr="002F34B6">
        <w:rPr>
          <w:rFonts w:ascii="Times New Roman" w:hAnsi="Times New Roman" w:cs="Times New Roman"/>
          <w:sz w:val="24"/>
          <w:szCs w:val="24"/>
        </w:rPr>
        <w:t xml:space="preserve"> </w:t>
      </w:r>
      <w:r w:rsidR="006A64B5" w:rsidRPr="002F34B6">
        <w:rPr>
          <w:rFonts w:ascii="Times New Roman" w:hAnsi="Times New Roman" w:cs="Times New Roman"/>
          <w:sz w:val="24"/>
          <w:szCs w:val="24"/>
        </w:rPr>
        <w:t>3</w:t>
      </w:r>
      <w:r w:rsidRPr="002F34B6">
        <w:rPr>
          <w:rFonts w:ascii="Times New Roman" w:hAnsi="Times New Roman" w:cs="Times New Roman"/>
          <w:sz w:val="24"/>
          <w:szCs w:val="24"/>
        </w:rPr>
        <w:t>/7 (</w:t>
      </w:r>
      <w:r w:rsidR="006A64B5" w:rsidRPr="002F34B6">
        <w:rPr>
          <w:rFonts w:ascii="Times New Roman" w:hAnsi="Times New Roman" w:cs="Times New Roman"/>
          <w:sz w:val="24"/>
          <w:szCs w:val="24"/>
        </w:rPr>
        <w:t>42,85</w:t>
      </w:r>
      <w:r w:rsidRPr="002F34B6">
        <w:rPr>
          <w:rFonts w:ascii="Times New Roman" w:hAnsi="Times New Roman" w:cs="Times New Roman"/>
          <w:sz w:val="24"/>
          <w:szCs w:val="24"/>
        </w:rPr>
        <w:t xml:space="preserve">%) i soggetti che non si affidavano alla diagnostica per immagini, e allo stesso modo per ognuno dei </w:t>
      </w:r>
      <w:r w:rsidR="00760387" w:rsidRPr="002F34B6">
        <w:rPr>
          <w:rFonts w:ascii="Times New Roman" w:hAnsi="Times New Roman" w:cs="Times New Roman"/>
          <w:sz w:val="24"/>
          <w:szCs w:val="24"/>
        </w:rPr>
        <w:t>due gruppi</w:t>
      </w:r>
      <w:r w:rsidRPr="002F34B6">
        <w:rPr>
          <w:rFonts w:ascii="Times New Roman" w:hAnsi="Times New Roman" w:cs="Times New Roman"/>
          <w:sz w:val="24"/>
          <w:szCs w:val="24"/>
        </w:rPr>
        <w:t xml:space="preserve"> </w:t>
      </w:r>
      <w:r w:rsidR="00760387" w:rsidRPr="002F34B6">
        <w:rPr>
          <w:rFonts w:ascii="Times New Roman" w:hAnsi="Times New Roman" w:cs="Times New Roman"/>
          <w:sz w:val="24"/>
          <w:szCs w:val="24"/>
        </w:rPr>
        <w:t>1 si asteneva dalla risposta</w:t>
      </w:r>
      <w:r w:rsidR="00584E8B" w:rsidRPr="002F34B6">
        <w:rPr>
          <w:rFonts w:ascii="Times New Roman" w:hAnsi="Times New Roman" w:cs="Times New Roman"/>
          <w:sz w:val="24"/>
          <w:szCs w:val="24"/>
        </w:rPr>
        <w:t xml:space="preserve"> (Figura 22).</w:t>
      </w:r>
      <w:r w:rsidRPr="002F34B6">
        <w:rPr>
          <w:rFonts w:ascii="Times New Roman" w:hAnsi="Times New Roman" w:cs="Times New Roman"/>
          <w:sz w:val="24"/>
          <w:szCs w:val="24"/>
        </w:rPr>
        <w:t xml:space="preserve"> </w:t>
      </w:r>
    </w:p>
    <w:p w14:paraId="682EE6A9" w14:textId="77777777" w:rsidR="00A377F5" w:rsidRDefault="00953FFB" w:rsidP="009464C3">
      <w:pPr>
        <w:spacing w:after="0" w:line="36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it-IT"/>
        </w:rPr>
        <w:drawing>
          <wp:inline distT="0" distB="0" distL="0" distR="0" wp14:anchorId="0B5CD38E" wp14:editId="032CA9C9">
            <wp:extent cx="4468495" cy="2242457"/>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6423" cy="2271528"/>
                    </a:xfrm>
                    <a:prstGeom prst="rect">
                      <a:avLst/>
                    </a:prstGeom>
                    <a:noFill/>
                  </pic:spPr>
                </pic:pic>
              </a:graphicData>
            </a:graphic>
          </wp:inline>
        </w:drawing>
      </w:r>
    </w:p>
    <w:p w14:paraId="6A53DB86" w14:textId="77777777" w:rsidR="00B00526" w:rsidRPr="001953E4" w:rsidRDefault="007C7B59" w:rsidP="00825A2E">
      <w:pPr>
        <w:spacing w:after="0" w:line="360" w:lineRule="auto"/>
        <w:rPr>
          <w:rFonts w:ascii="Times New Roman" w:hAnsi="Times New Roman" w:cs="Times New Roman"/>
          <w:sz w:val="20"/>
          <w:szCs w:val="20"/>
        </w:rPr>
      </w:pPr>
      <w:r w:rsidRPr="001953E4">
        <w:rPr>
          <w:rFonts w:ascii="Times New Roman" w:hAnsi="Times New Roman" w:cs="Times New Roman"/>
          <w:b/>
          <w:sz w:val="20"/>
          <w:szCs w:val="20"/>
        </w:rPr>
        <w:t xml:space="preserve">Figura </w:t>
      </w:r>
      <w:r w:rsidR="00C86E51" w:rsidRPr="001953E4">
        <w:rPr>
          <w:rFonts w:ascii="Times New Roman" w:hAnsi="Times New Roman" w:cs="Times New Roman"/>
          <w:b/>
          <w:sz w:val="20"/>
          <w:szCs w:val="20"/>
        </w:rPr>
        <w:t>2</w:t>
      </w:r>
      <w:r w:rsidR="00584E8B" w:rsidRPr="001953E4">
        <w:rPr>
          <w:rFonts w:ascii="Times New Roman" w:hAnsi="Times New Roman" w:cs="Times New Roman"/>
          <w:b/>
          <w:sz w:val="20"/>
          <w:szCs w:val="20"/>
        </w:rPr>
        <w:t>2</w:t>
      </w:r>
      <w:r w:rsidRPr="001953E4">
        <w:rPr>
          <w:rFonts w:ascii="Times New Roman" w:hAnsi="Times New Roman" w:cs="Times New Roman"/>
          <w:b/>
          <w:sz w:val="20"/>
          <w:szCs w:val="20"/>
        </w:rPr>
        <w:t>.</w:t>
      </w:r>
      <w:r w:rsidRPr="001953E4">
        <w:rPr>
          <w:rFonts w:ascii="Times New Roman" w:hAnsi="Times New Roman" w:cs="Times New Roman"/>
          <w:sz w:val="20"/>
          <w:szCs w:val="20"/>
        </w:rPr>
        <w:t xml:space="preserve"> </w:t>
      </w:r>
      <w:r w:rsidR="006B00A0" w:rsidRPr="001953E4">
        <w:rPr>
          <w:rFonts w:ascii="Times New Roman" w:hAnsi="Times New Roman" w:cs="Times New Roman"/>
          <w:sz w:val="20"/>
          <w:szCs w:val="20"/>
        </w:rPr>
        <w:t xml:space="preserve"> MMG con meno di 20 anni di attività che non richiedono </w:t>
      </w:r>
      <w:r w:rsidR="00B00526" w:rsidRPr="001953E4">
        <w:rPr>
          <w:rFonts w:ascii="Times New Roman" w:hAnsi="Times New Roman" w:cs="Times New Roman"/>
          <w:sz w:val="20"/>
          <w:szCs w:val="20"/>
        </w:rPr>
        <w:t>esami di imaging</w:t>
      </w:r>
    </w:p>
    <w:p w14:paraId="77C6575F" w14:textId="77777777" w:rsidR="001953E4" w:rsidRDefault="001953E4">
      <w:pPr>
        <w:rPr>
          <w:rFonts w:ascii="Times New Roman" w:eastAsiaTheme="majorEastAsia" w:hAnsi="Times New Roman" w:cstheme="majorBidi"/>
          <w:b/>
          <w:bCs/>
          <w:sz w:val="28"/>
          <w:szCs w:val="28"/>
          <w:lang w:val="en-US"/>
        </w:rPr>
      </w:pPr>
      <w:bookmarkStart w:id="28" w:name="_Toc12908080"/>
      <w:r>
        <w:rPr>
          <w:rFonts w:ascii="Times New Roman" w:hAnsi="Times New Roman"/>
          <w:sz w:val="28"/>
          <w:szCs w:val="28"/>
        </w:rPr>
        <w:br w:type="page"/>
      </w:r>
    </w:p>
    <w:p w14:paraId="2E19A6BB" w14:textId="4C80799D" w:rsidR="001A08BD" w:rsidRPr="00CE522C" w:rsidRDefault="00994B5F" w:rsidP="00CE522C">
      <w:pPr>
        <w:pStyle w:val="Titolo2"/>
        <w:rPr>
          <w:rFonts w:ascii="Times New Roman" w:hAnsi="Times New Roman"/>
          <w:color w:val="auto"/>
          <w:sz w:val="28"/>
          <w:szCs w:val="28"/>
        </w:rPr>
      </w:pPr>
      <w:r w:rsidRPr="00CE522C">
        <w:rPr>
          <w:rFonts w:ascii="Times New Roman" w:hAnsi="Times New Roman"/>
          <w:color w:val="auto"/>
          <w:sz w:val="28"/>
          <w:szCs w:val="28"/>
        </w:rPr>
        <w:lastRenderedPageBreak/>
        <w:t xml:space="preserve">3.4 </w:t>
      </w:r>
      <w:r w:rsidR="00E841CD">
        <w:rPr>
          <w:rFonts w:ascii="Times New Roman" w:hAnsi="Times New Roman"/>
          <w:color w:val="auto"/>
          <w:sz w:val="28"/>
          <w:szCs w:val="28"/>
        </w:rPr>
        <w:t>Discussione e c</w:t>
      </w:r>
      <w:r w:rsidRPr="00CE522C">
        <w:rPr>
          <w:rFonts w:ascii="Times New Roman" w:hAnsi="Times New Roman"/>
          <w:color w:val="auto"/>
          <w:sz w:val="28"/>
          <w:szCs w:val="28"/>
        </w:rPr>
        <w:t>onclusioni</w:t>
      </w:r>
      <w:bookmarkEnd w:id="28"/>
    </w:p>
    <w:p w14:paraId="291E21DC" w14:textId="77777777" w:rsidR="00CE522C" w:rsidRDefault="00CE522C" w:rsidP="00825A2E">
      <w:pPr>
        <w:pStyle w:val="Paragrafoelenco"/>
        <w:spacing w:line="480" w:lineRule="auto"/>
        <w:ind w:left="0"/>
        <w:rPr>
          <w:rFonts w:ascii="Times New Roman" w:hAnsi="Times New Roman"/>
        </w:rPr>
      </w:pPr>
    </w:p>
    <w:p w14:paraId="0405CB2B" w14:textId="1B02E89D" w:rsidR="00621176" w:rsidRPr="001953E4" w:rsidRDefault="001A08BD" w:rsidP="001953E4">
      <w:pPr>
        <w:pStyle w:val="Paragrafoelenco"/>
        <w:spacing w:line="480" w:lineRule="auto"/>
        <w:ind w:left="0"/>
        <w:rPr>
          <w:rFonts w:ascii="Times New Roman" w:hAnsi="Times New Roman"/>
          <w:sz w:val="24"/>
          <w:szCs w:val="24"/>
        </w:rPr>
      </w:pPr>
      <w:r w:rsidRPr="001953E4">
        <w:rPr>
          <w:rFonts w:ascii="Times New Roman" w:hAnsi="Times New Roman"/>
          <w:sz w:val="24"/>
          <w:szCs w:val="24"/>
        </w:rPr>
        <w:t>Lo scopo del nostro studio era quello di valutare, in base alle risposte al questionario, quale fosse l’atteggiamento diagnostic</w:t>
      </w:r>
      <w:r w:rsidR="00FA4826">
        <w:rPr>
          <w:rFonts w:ascii="Times New Roman" w:hAnsi="Times New Roman"/>
          <w:sz w:val="24"/>
          <w:szCs w:val="24"/>
        </w:rPr>
        <w:t xml:space="preserve">o e terapeutico dei MMG liguri </w:t>
      </w:r>
      <w:bookmarkStart w:id="29" w:name="_GoBack"/>
      <w:bookmarkEnd w:id="29"/>
      <w:r w:rsidRPr="001953E4">
        <w:rPr>
          <w:rFonts w:ascii="Times New Roman" w:hAnsi="Times New Roman"/>
          <w:sz w:val="24"/>
          <w:szCs w:val="24"/>
        </w:rPr>
        <w:t xml:space="preserve"> nei confronti della AGC. </w:t>
      </w:r>
    </w:p>
    <w:p w14:paraId="6D4FE6B8" w14:textId="79DD2DE5" w:rsidR="00621176" w:rsidRPr="001953E4" w:rsidRDefault="00621176" w:rsidP="001953E4">
      <w:pPr>
        <w:pStyle w:val="Paragrafoelenco"/>
        <w:spacing w:line="480" w:lineRule="auto"/>
        <w:ind w:left="0"/>
        <w:rPr>
          <w:rFonts w:ascii="Times New Roman" w:hAnsi="Times New Roman"/>
          <w:sz w:val="24"/>
          <w:szCs w:val="24"/>
        </w:rPr>
      </w:pPr>
      <w:r w:rsidRPr="001953E4">
        <w:rPr>
          <w:rFonts w:ascii="Times New Roman" w:hAnsi="Times New Roman"/>
          <w:sz w:val="24"/>
          <w:szCs w:val="24"/>
        </w:rPr>
        <w:t xml:space="preserve">Il questionario è forse lo strumento più utilizzato nell’ambito della ricerca sociale, in particolar modo per la rilevazione di atteggiamenti, opinioni e stili di pensiero. </w:t>
      </w:r>
      <w:r w:rsidRPr="001953E4">
        <w:rPr>
          <w:rFonts w:ascii="Times New Roman" w:eastAsia="Times New Roman" w:hAnsi="Times New Roman"/>
          <w:sz w:val="24"/>
          <w:szCs w:val="24"/>
          <w:lang w:eastAsia="it-IT"/>
        </w:rPr>
        <w:t>È stato</w:t>
      </w:r>
      <w:r w:rsidR="00E54037" w:rsidRPr="001953E4">
        <w:rPr>
          <w:rFonts w:ascii="Times New Roman" w:eastAsia="Times New Roman" w:hAnsi="Times New Roman"/>
          <w:sz w:val="24"/>
          <w:szCs w:val="24"/>
          <w:lang w:eastAsia="it-IT"/>
        </w:rPr>
        <w:t xml:space="preserve"> </w:t>
      </w:r>
      <w:r w:rsidRPr="001953E4">
        <w:rPr>
          <w:rFonts w:ascii="Times New Roman" w:eastAsia="Times New Roman" w:hAnsi="Times New Roman"/>
          <w:sz w:val="24"/>
          <w:szCs w:val="24"/>
          <w:lang w:eastAsia="it-IT"/>
        </w:rPr>
        <w:t>definito come uno strumento di raccolta delle </w:t>
      </w:r>
      <w:hyperlink r:id="rId34" w:tooltip="Informazioni" w:history="1">
        <w:r w:rsidRPr="001953E4">
          <w:rPr>
            <w:rFonts w:ascii="Times New Roman" w:eastAsia="Times New Roman" w:hAnsi="Times New Roman"/>
            <w:sz w:val="24"/>
            <w:szCs w:val="24"/>
            <w:lang w:eastAsia="it-IT"/>
          </w:rPr>
          <w:t>informazioni</w:t>
        </w:r>
      </w:hyperlink>
      <w:r w:rsidRPr="001953E4">
        <w:rPr>
          <w:rFonts w:ascii="Times New Roman" w:eastAsia="Times New Roman" w:hAnsi="Times New Roman"/>
          <w:sz w:val="24"/>
          <w:szCs w:val="24"/>
          <w:lang w:eastAsia="it-IT"/>
        </w:rPr>
        <w:t>, definito come un insieme strutturato di domande e relative categorie di risposta definite a priori da chi lo costruisce, ovvero di domande "chiuse" dove all'intervistato viene richiesto di individuare tra le risposte presentate quella che più si avvicina alla propria posizione, e/o domande "aperte" che non prevedono delle risposte predeterminate</w:t>
      </w:r>
      <w:r w:rsidR="00C83EBF" w:rsidRPr="001953E4">
        <w:rPr>
          <w:rFonts w:ascii="Times New Roman" w:eastAsia="Times New Roman" w:hAnsi="Times New Roman"/>
          <w:sz w:val="24"/>
          <w:szCs w:val="24"/>
          <w:lang w:eastAsia="it-IT"/>
        </w:rPr>
        <w:fldChar w:fldCharType="begin" w:fldLock="1"/>
      </w:r>
      <w:r w:rsidR="00535792" w:rsidRPr="001953E4">
        <w:rPr>
          <w:rFonts w:ascii="Times New Roman" w:eastAsia="Times New Roman" w:hAnsi="Times New Roman"/>
          <w:sz w:val="24"/>
          <w:szCs w:val="24"/>
          <w:lang w:eastAsia="it-IT"/>
        </w:rPr>
        <w:instrText>ADDIN CSL_CITATION {"citationItems":[{"id":"ITEM-1","itemData":{"abstract":"Psicologia e Psichiatria &gt; Metodologia della ricerca","author":[{"dropping-particle":"","family":"Vanda Lucia Zammuner","given":"","non-dropping-particle":"","parse-names":false,"suffix":""}],"id":"ITEM-1","issued":{"date-parts":[["1996"]]},"number-of-pages":"256","publisher":"Borla","title":"Interviste e questionari. Processi psicologici e qualità dei dati","type":"book"},"uris":["http://www.mendeley.com/documents/?uuid=2f85d28f-2185-4143-8045-9acce56b51b7"]}],"mendeley":{"formattedCitation":"&lt;sup&gt;38&lt;/sup&gt;","plainTextFormattedCitation":"38","previouslyFormattedCitation":"&lt;sup&gt;38&lt;/sup&gt;"},"properties":{"noteIndex":0},"schema":"https://github.com/citation-style-language/schema/raw/master/csl-citation.json"}</w:instrText>
      </w:r>
      <w:r w:rsidR="00C83EBF" w:rsidRPr="001953E4">
        <w:rPr>
          <w:rFonts w:ascii="Times New Roman" w:eastAsia="Times New Roman" w:hAnsi="Times New Roman"/>
          <w:sz w:val="24"/>
          <w:szCs w:val="24"/>
          <w:lang w:eastAsia="it-IT"/>
        </w:rPr>
        <w:fldChar w:fldCharType="separate"/>
      </w:r>
      <w:r w:rsidR="00C83EBF" w:rsidRPr="001953E4">
        <w:rPr>
          <w:rFonts w:ascii="Times New Roman" w:eastAsia="Times New Roman" w:hAnsi="Times New Roman"/>
          <w:noProof/>
          <w:sz w:val="24"/>
          <w:szCs w:val="24"/>
          <w:vertAlign w:val="superscript"/>
          <w:lang w:eastAsia="it-IT"/>
        </w:rPr>
        <w:t>38</w:t>
      </w:r>
      <w:r w:rsidR="00C83EBF" w:rsidRPr="001953E4">
        <w:rPr>
          <w:rFonts w:ascii="Times New Roman" w:eastAsia="Times New Roman" w:hAnsi="Times New Roman"/>
          <w:sz w:val="24"/>
          <w:szCs w:val="24"/>
          <w:lang w:eastAsia="it-IT"/>
        </w:rPr>
        <w:fldChar w:fldCharType="end"/>
      </w:r>
      <w:r w:rsidRPr="001953E4">
        <w:rPr>
          <w:rFonts w:ascii="Times New Roman" w:eastAsia="Times New Roman" w:hAnsi="Times New Roman"/>
          <w:sz w:val="24"/>
          <w:szCs w:val="24"/>
          <w:lang w:eastAsia="it-IT"/>
        </w:rPr>
        <w:t>.</w:t>
      </w:r>
    </w:p>
    <w:p w14:paraId="3C1AB667" w14:textId="77777777" w:rsidR="00327154" w:rsidRPr="001953E4" w:rsidRDefault="00327154"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Times New Roman" w:hAnsi="Times New Roman" w:cs="Times New Roman"/>
          <w:sz w:val="24"/>
          <w:szCs w:val="24"/>
          <w:lang w:eastAsia="it-IT"/>
        </w:rPr>
        <w:t>Fondamentali aspetti inerenti alla qualità dei questionari sono i metodi di valutazione che devono aiutare a stabilire in maniera appropriata:</w:t>
      </w:r>
    </w:p>
    <w:p w14:paraId="67D46143" w14:textId="77777777" w:rsidR="00327154" w:rsidRPr="001953E4" w:rsidRDefault="00327154"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Times New Roman" w:hAnsi="Times New Roman" w:cs="Times New Roman"/>
          <w:sz w:val="24"/>
          <w:szCs w:val="24"/>
          <w:lang w:eastAsia="it-IT"/>
        </w:rPr>
        <w:t>- La discriminazione di situazioni importanti ed oggettive</w:t>
      </w:r>
    </w:p>
    <w:p w14:paraId="59A42AFE" w14:textId="77777777" w:rsidR="00327154" w:rsidRPr="001953E4" w:rsidRDefault="00327154"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Times New Roman" w:hAnsi="Times New Roman" w:cs="Times New Roman"/>
          <w:sz w:val="24"/>
          <w:szCs w:val="24"/>
          <w:lang w:eastAsia="it-IT"/>
        </w:rPr>
        <w:t>- Le diversità di misurazione</w:t>
      </w:r>
    </w:p>
    <w:p w14:paraId="0A124272" w14:textId="77777777" w:rsidR="00327154" w:rsidRPr="001953E4" w:rsidRDefault="00327154"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Times New Roman" w:hAnsi="Times New Roman" w:cs="Times New Roman"/>
          <w:sz w:val="24"/>
          <w:szCs w:val="24"/>
          <w:lang w:eastAsia="it-IT"/>
        </w:rPr>
        <w:t>- Il livello di strutturazione delle domande (chiuse, semi-strutturate, aperte)</w:t>
      </w:r>
    </w:p>
    <w:p w14:paraId="798BBFAA" w14:textId="77777777" w:rsidR="00327154" w:rsidRPr="001953E4" w:rsidRDefault="00327154"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Times New Roman" w:hAnsi="Times New Roman" w:cs="Times New Roman"/>
          <w:sz w:val="24"/>
          <w:szCs w:val="24"/>
          <w:lang w:eastAsia="it-IT"/>
        </w:rPr>
        <w:t>- Il linguaggio impiegato (Pertinenza, Precisione, Rilevanza, Semplicità)</w:t>
      </w:r>
    </w:p>
    <w:p w14:paraId="0144DC11" w14:textId="77777777" w:rsidR="00327154" w:rsidRPr="001953E4" w:rsidRDefault="00327154"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Times New Roman" w:hAnsi="Times New Roman" w:cs="Times New Roman"/>
          <w:sz w:val="24"/>
          <w:szCs w:val="24"/>
          <w:lang w:eastAsia="it-IT"/>
        </w:rPr>
        <w:t>- La formulazione e l'ordine dei quesiti</w:t>
      </w:r>
    </w:p>
    <w:p w14:paraId="49BB1CAA" w14:textId="77777777" w:rsidR="00327154" w:rsidRPr="001953E4" w:rsidRDefault="00327154"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Times New Roman" w:hAnsi="Times New Roman" w:cs="Times New Roman"/>
          <w:sz w:val="24"/>
          <w:szCs w:val="24"/>
          <w:lang w:eastAsia="it-IT"/>
        </w:rPr>
        <w:t>- Gli errori prevedibili (casuali/sistematici) e le fonti di errore</w:t>
      </w:r>
    </w:p>
    <w:p w14:paraId="30936708" w14:textId="66FCF1B7" w:rsidR="0083329D" w:rsidRPr="001953E4" w:rsidRDefault="0083329D" w:rsidP="001953E4">
      <w:pPr>
        <w:pStyle w:val="Paragrafoelenco"/>
        <w:spacing w:line="480" w:lineRule="auto"/>
        <w:ind w:left="0"/>
        <w:rPr>
          <w:rFonts w:ascii="Times New Roman" w:hAnsi="Times New Roman"/>
          <w:sz w:val="24"/>
          <w:szCs w:val="24"/>
        </w:rPr>
      </w:pPr>
      <w:r w:rsidRPr="001953E4">
        <w:rPr>
          <w:rFonts w:ascii="Times New Roman" w:eastAsia="Arial Unicode MS" w:hAnsi="Times New Roman"/>
          <w:sz w:val="24"/>
          <w:szCs w:val="24"/>
          <w:lang w:eastAsia="it-IT"/>
        </w:rPr>
        <w:t xml:space="preserve">Il questionario consente la standardizzazione dell’osservazione; domande e comunicazione devono essere identiche per tutti i rispondenti al fine che le </w:t>
      </w:r>
      <w:r w:rsidRPr="001953E4">
        <w:rPr>
          <w:rFonts w:ascii="Times New Roman" w:eastAsia="Arial Unicode MS" w:hAnsi="Times New Roman"/>
          <w:sz w:val="24"/>
          <w:szCs w:val="24"/>
          <w:lang w:eastAsia="it-IT"/>
        </w:rPr>
        <w:lastRenderedPageBreak/>
        <w:t xml:space="preserve">informazioni raccolte siano confrontabili fra loro. Affinché la comprensione del questionario non risulti ambigua è importante che il rispondente inquadri </w:t>
      </w:r>
      <w:r w:rsidRPr="001953E4">
        <w:rPr>
          <w:rFonts w:ascii="Times New Roman" w:eastAsia="Arial Unicode MS" w:hAnsi="Times New Roman"/>
          <w:iCs/>
          <w:sz w:val="24"/>
          <w:szCs w:val="24"/>
          <w:lang w:eastAsia="it-IT"/>
        </w:rPr>
        <w:t>il contesto nel quale le domande si collocano</w:t>
      </w:r>
      <w:r w:rsidRPr="001953E4">
        <w:rPr>
          <w:rFonts w:ascii="Times New Roman" w:eastAsia="Arial Unicode MS" w:hAnsi="Times New Roman"/>
          <w:sz w:val="24"/>
          <w:szCs w:val="24"/>
          <w:lang w:eastAsia="it-IT"/>
        </w:rPr>
        <w:t xml:space="preserve">. Per questo motivo occorre che la </w:t>
      </w:r>
      <w:r w:rsidRPr="001953E4">
        <w:rPr>
          <w:rFonts w:ascii="Times New Roman" w:eastAsia="Arial Unicode MS" w:hAnsi="Times New Roman"/>
          <w:iCs/>
          <w:sz w:val="24"/>
          <w:szCs w:val="24"/>
          <w:lang w:eastAsia="it-IT"/>
        </w:rPr>
        <w:t xml:space="preserve">sequenza degli argomenti affrontati </w:t>
      </w:r>
      <w:r w:rsidRPr="001953E4">
        <w:rPr>
          <w:rFonts w:ascii="Times New Roman" w:eastAsia="Arial Unicode MS" w:hAnsi="Times New Roman"/>
          <w:sz w:val="24"/>
          <w:szCs w:val="24"/>
          <w:lang w:eastAsia="it-IT"/>
        </w:rPr>
        <w:t>sia il più possibile coerente evitando che si verifichino salti radicali.</w:t>
      </w:r>
    </w:p>
    <w:p w14:paraId="6D39F7F5" w14:textId="77777777" w:rsidR="0083329D" w:rsidRPr="001953E4" w:rsidRDefault="0083329D" w:rsidP="001953E4">
      <w:pPr>
        <w:shd w:val="clear" w:color="auto" w:fill="FFFFFF"/>
        <w:spacing w:before="120" w:after="120" w:line="480" w:lineRule="auto"/>
        <w:rPr>
          <w:rFonts w:ascii="Times New Roman" w:eastAsia="Times New Roman" w:hAnsi="Times New Roman" w:cs="Times New Roman"/>
          <w:sz w:val="24"/>
          <w:szCs w:val="24"/>
          <w:lang w:eastAsia="it-IT"/>
        </w:rPr>
      </w:pPr>
      <w:r w:rsidRPr="001953E4">
        <w:rPr>
          <w:rFonts w:ascii="Times New Roman" w:eastAsia="Arial Unicode MS" w:hAnsi="Times New Roman" w:cs="Times New Roman"/>
          <w:sz w:val="24"/>
          <w:szCs w:val="24"/>
          <w:lang w:eastAsia="it-IT"/>
        </w:rPr>
        <w:t xml:space="preserve">Per aiutare i rispondenti nel loro compito è importante tenere presenti due stili nell’ordinamento dei quesiti:  </w:t>
      </w:r>
    </w:p>
    <w:p w14:paraId="63EA5AFB" w14:textId="77777777" w:rsidR="0083329D" w:rsidRPr="001953E4" w:rsidRDefault="0083329D" w:rsidP="001953E4">
      <w:pPr>
        <w:pStyle w:val="Paragrafoelenco"/>
        <w:numPr>
          <w:ilvl w:val="0"/>
          <w:numId w:val="41"/>
        </w:numPr>
        <w:shd w:val="clear" w:color="auto" w:fill="FFFFFF"/>
        <w:spacing w:before="120" w:after="120" w:line="480" w:lineRule="auto"/>
        <w:rPr>
          <w:rFonts w:ascii="Times New Roman" w:eastAsia="Times New Roman" w:hAnsi="Times New Roman"/>
          <w:sz w:val="24"/>
          <w:szCs w:val="24"/>
          <w:lang w:eastAsia="it-IT"/>
        </w:rPr>
      </w:pPr>
      <w:r w:rsidRPr="001953E4">
        <w:rPr>
          <w:rFonts w:ascii="Times New Roman" w:eastAsia="Times New Roman" w:hAnsi="Times New Roman"/>
          <w:sz w:val="24"/>
          <w:szCs w:val="24"/>
          <w:lang w:eastAsia="it-IT"/>
        </w:rPr>
        <w:t>La successione a imbuto: Si passa da domande generali a domande più particolari per dare tempo al rispondente di focalizzare l’attenzione sul tema proposto. Serve ad aiutare la memoria e a registrare opinioni non meditate</w:t>
      </w:r>
    </w:p>
    <w:p w14:paraId="30B12C05" w14:textId="77777777" w:rsidR="0083329D" w:rsidRPr="001953E4" w:rsidRDefault="0083329D" w:rsidP="001953E4">
      <w:pPr>
        <w:pStyle w:val="Paragrafoelenco"/>
        <w:numPr>
          <w:ilvl w:val="0"/>
          <w:numId w:val="41"/>
        </w:numPr>
        <w:shd w:val="clear" w:color="auto" w:fill="FFFFFF"/>
        <w:spacing w:before="120" w:after="120" w:line="480" w:lineRule="auto"/>
        <w:rPr>
          <w:rFonts w:ascii="Times New Roman" w:eastAsia="Times New Roman" w:hAnsi="Times New Roman"/>
          <w:sz w:val="24"/>
          <w:szCs w:val="24"/>
          <w:lang w:eastAsia="it-IT"/>
        </w:rPr>
      </w:pPr>
      <w:r w:rsidRPr="001953E4">
        <w:rPr>
          <w:rFonts w:ascii="Times New Roman" w:eastAsia="Times New Roman" w:hAnsi="Times New Roman"/>
          <w:sz w:val="24"/>
          <w:szCs w:val="24"/>
          <w:lang w:eastAsia="it-IT"/>
        </w:rPr>
        <w:t>La successione ad imbuto rovesciato: Si antepongono le domande specifiche a quelle più generali. Utili quando si desidera raccogliere opinioni meditate su un determinato argomento.</w:t>
      </w:r>
    </w:p>
    <w:p w14:paraId="0914897A" w14:textId="17F297AE" w:rsidR="0083329D" w:rsidRPr="001953E4" w:rsidRDefault="0083329D" w:rsidP="001953E4">
      <w:pPr>
        <w:pStyle w:val="Paragrafoelenco"/>
        <w:spacing w:line="480" w:lineRule="auto"/>
        <w:ind w:left="0"/>
        <w:rPr>
          <w:rFonts w:ascii="Times New Roman" w:hAnsi="Times New Roman"/>
          <w:sz w:val="24"/>
          <w:szCs w:val="24"/>
        </w:rPr>
      </w:pPr>
      <w:r w:rsidRPr="001953E4">
        <w:rPr>
          <w:rFonts w:ascii="Times New Roman" w:eastAsia="Arial Unicode MS" w:hAnsi="Times New Roman"/>
          <w:sz w:val="24"/>
          <w:szCs w:val="24"/>
          <w:lang w:eastAsia="it-IT"/>
        </w:rPr>
        <w:t>In molti casi anche l’ordine con il quale sono proposte le domande può influenzare la risposta.</w:t>
      </w:r>
    </w:p>
    <w:p w14:paraId="53AC891C" w14:textId="1779C033" w:rsidR="0083329D" w:rsidRPr="001953E4" w:rsidRDefault="0083329D" w:rsidP="001953E4">
      <w:pPr>
        <w:spacing w:line="480" w:lineRule="auto"/>
        <w:rPr>
          <w:rFonts w:ascii="Times New Roman" w:eastAsia="Arial Unicode MS" w:hAnsi="Times New Roman" w:cs="Times New Roman"/>
          <w:sz w:val="24"/>
          <w:szCs w:val="24"/>
          <w:lang w:eastAsia="it-IT"/>
        </w:rPr>
      </w:pPr>
      <w:r w:rsidRPr="001953E4">
        <w:rPr>
          <w:rFonts w:ascii="Times New Roman" w:eastAsia="Arial Unicode MS" w:hAnsi="Times New Roman" w:cs="Times New Roman"/>
          <w:sz w:val="24"/>
          <w:szCs w:val="24"/>
          <w:lang w:eastAsia="it-IT"/>
        </w:rPr>
        <w:t xml:space="preserve">È inoltre importante tenere presente altri aspetti nella formulazione delle domande, come che queste siano formulate in modo da contenere </w:t>
      </w:r>
      <w:r w:rsidRPr="001953E4">
        <w:rPr>
          <w:rFonts w:ascii="Times New Roman" w:eastAsia="Arial Unicode MS" w:hAnsi="Times New Roman" w:cs="Times New Roman"/>
          <w:iCs/>
          <w:sz w:val="24"/>
          <w:szCs w:val="24"/>
          <w:lang w:eastAsia="it-IT"/>
        </w:rPr>
        <w:t>informazioni sufficienti a non risultare ambigue</w:t>
      </w:r>
      <w:r w:rsidRPr="001953E4">
        <w:rPr>
          <w:rFonts w:ascii="Times New Roman" w:eastAsia="Arial Unicode MS" w:hAnsi="Times New Roman" w:cs="Times New Roman"/>
          <w:sz w:val="24"/>
          <w:szCs w:val="24"/>
          <w:lang w:eastAsia="it-IT"/>
        </w:rPr>
        <w:t xml:space="preserve">. </w:t>
      </w:r>
    </w:p>
    <w:p w14:paraId="5295F7A8" w14:textId="77777777" w:rsidR="0083329D" w:rsidRPr="001953E4" w:rsidRDefault="0083329D" w:rsidP="001953E4">
      <w:pPr>
        <w:spacing w:line="480" w:lineRule="auto"/>
        <w:rPr>
          <w:rFonts w:ascii="Times New Roman" w:eastAsia="Calibri" w:hAnsi="Times New Roman"/>
          <w:sz w:val="24"/>
          <w:szCs w:val="24"/>
        </w:rPr>
      </w:pPr>
      <w:r w:rsidRPr="001953E4">
        <w:rPr>
          <w:rFonts w:ascii="Times New Roman" w:eastAsia="Arial Unicode MS" w:hAnsi="Times New Roman" w:cs="Times New Roman"/>
          <w:sz w:val="24"/>
          <w:szCs w:val="24"/>
          <w:lang w:eastAsia="it-IT"/>
        </w:rPr>
        <w:t xml:space="preserve">I quesiti retrospettivi sottopongono il rispondente ad uno sforzo di memoria che può provocare due problemi:  </w:t>
      </w:r>
    </w:p>
    <w:p w14:paraId="5E4AC9E3" w14:textId="77777777" w:rsidR="0083329D" w:rsidRPr="001953E4" w:rsidRDefault="0083329D" w:rsidP="001953E4">
      <w:pPr>
        <w:pStyle w:val="Paragrafoelenco"/>
        <w:numPr>
          <w:ilvl w:val="0"/>
          <w:numId w:val="42"/>
        </w:numPr>
        <w:spacing w:line="480" w:lineRule="auto"/>
        <w:rPr>
          <w:rFonts w:ascii="Times New Roman" w:hAnsi="Times New Roman"/>
          <w:sz w:val="24"/>
          <w:szCs w:val="24"/>
        </w:rPr>
      </w:pPr>
      <w:r w:rsidRPr="001953E4">
        <w:rPr>
          <w:rFonts w:ascii="Times New Roman" w:eastAsia="Times New Roman" w:hAnsi="Times New Roman"/>
          <w:sz w:val="24"/>
          <w:szCs w:val="24"/>
          <w:lang w:eastAsia="it-IT"/>
        </w:rPr>
        <w:t xml:space="preserve">Se l’evento avvenuto nel passato viene omesso per dimenticanza si </w:t>
      </w:r>
      <w:r w:rsidRPr="001953E4">
        <w:rPr>
          <w:rFonts w:ascii="Times New Roman" w:eastAsia="Times New Roman" w:hAnsi="Times New Roman"/>
          <w:bCs/>
          <w:sz w:val="24"/>
          <w:szCs w:val="24"/>
          <w:lang w:eastAsia="it-IT"/>
        </w:rPr>
        <w:t>sottovaluta</w:t>
      </w:r>
      <w:r w:rsidRPr="001953E4">
        <w:rPr>
          <w:rFonts w:ascii="Times New Roman" w:eastAsia="Times New Roman" w:hAnsi="Times New Roman"/>
          <w:sz w:val="24"/>
          <w:szCs w:val="24"/>
          <w:lang w:eastAsia="it-IT"/>
        </w:rPr>
        <w:t xml:space="preserve"> l’entità del fenomeno da misurare;</w:t>
      </w:r>
    </w:p>
    <w:p w14:paraId="0482DB03" w14:textId="38F763E3" w:rsidR="0083329D" w:rsidRPr="001953E4" w:rsidRDefault="0083329D" w:rsidP="001953E4">
      <w:pPr>
        <w:pStyle w:val="Paragrafoelenco"/>
        <w:numPr>
          <w:ilvl w:val="0"/>
          <w:numId w:val="42"/>
        </w:numPr>
        <w:spacing w:line="480" w:lineRule="auto"/>
        <w:rPr>
          <w:rFonts w:ascii="Times New Roman" w:eastAsia="Arial Unicode MS" w:hAnsi="Times New Roman"/>
          <w:sz w:val="24"/>
          <w:szCs w:val="24"/>
          <w:lang w:eastAsia="it-IT"/>
        </w:rPr>
      </w:pPr>
      <w:r w:rsidRPr="001953E4">
        <w:rPr>
          <w:rFonts w:ascii="Times New Roman" w:eastAsia="Times New Roman" w:hAnsi="Times New Roman"/>
          <w:sz w:val="24"/>
          <w:szCs w:val="24"/>
          <w:lang w:eastAsia="it-IT"/>
        </w:rPr>
        <w:lastRenderedPageBreak/>
        <w:t xml:space="preserve">Se un evento viene erroneamente localizzato all’interno del periodo di interesse si </w:t>
      </w:r>
      <w:r w:rsidRPr="001953E4">
        <w:rPr>
          <w:rFonts w:ascii="Times New Roman" w:eastAsia="Times New Roman" w:hAnsi="Times New Roman"/>
          <w:bCs/>
          <w:sz w:val="24"/>
          <w:szCs w:val="24"/>
          <w:lang w:eastAsia="it-IT"/>
        </w:rPr>
        <w:t>sopravvaluta</w:t>
      </w:r>
      <w:r w:rsidRPr="001953E4">
        <w:rPr>
          <w:rFonts w:ascii="Times New Roman" w:eastAsia="Times New Roman" w:hAnsi="Times New Roman"/>
          <w:sz w:val="24"/>
          <w:szCs w:val="24"/>
          <w:lang w:eastAsia="it-IT"/>
        </w:rPr>
        <w:t xml:space="preserve"> l’entità del fenomeno (effetto telescopio).</w:t>
      </w:r>
    </w:p>
    <w:p w14:paraId="2A3350D9" w14:textId="77777777" w:rsidR="0083329D" w:rsidRPr="001953E4" w:rsidRDefault="0083329D" w:rsidP="001953E4">
      <w:pPr>
        <w:pStyle w:val="Paragrafoelenco"/>
        <w:spacing w:line="480" w:lineRule="auto"/>
        <w:ind w:left="0"/>
        <w:rPr>
          <w:rFonts w:ascii="Times New Roman" w:hAnsi="Times New Roman"/>
          <w:sz w:val="24"/>
          <w:szCs w:val="24"/>
        </w:rPr>
      </w:pPr>
    </w:p>
    <w:p w14:paraId="2D53003B" w14:textId="07FF23C0" w:rsidR="001A08BD" w:rsidRPr="001953E4" w:rsidRDefault="001A08BD" w:rsidP="001953E4">
      <w:pPr>
        <w:pStyle w:val="Paragrafoelenco"/>
        <w:spacing w:line="480" w:lineRule="auto"/>
        <w:ind w:left="0"/>
        <w:rPr>
          <w:rFonts w:ascii="Times New Roman" w:hAnsi="Times New Roman"/>
          <w:sz w:val="24"/>
          <w:szCs w:val="24"/>
        </w:rPr>
      </w:pPr>
      <w:r w:rsidRPr="001953E4">
        <w:rPr>
          <w:rFonts w:ascii="Times New Roman" w:hAnsi="Times New Roman"/>
          <w:sz w:val="24"/>
          <w:szCs w:val="24"/>
        </w:rPr>
        <w:t>Purtroppo, il numero di risposte ottenuto dopo due invii del questionario è stato solo di circa il 10%. Questa percentuale è di molto inferiore a quella minima richiesta (60%) perché si possa pensare che le risposte ad un questionario siano effettivamente rappresentative della popolazione studiata.</w:t>
      </w:r>
      <w:r w:rsidR="004F08FB" w:rsidRPr="001953E4">
        <w:rPr>
          <w:rFonts w:ascii="Times New Roman" w:hAnsi="Times New Roman"/>
          <w:sz w:val="24"/>
          <w:szCs w:val="24"/>
        </w:rPr>
        <w:t xml:space="preserve"> Tuttavia, anche nello studio inglese citato nell’introduzione </w:t>
      </w:r>
      <w:r w:rsidR="004F08FB" w:rsidRPr="001953E4">
        <w:rPr>
          <w:rFonts w:ascii="Times New Roman" w:hAnsi="Times New Roman"/>
          <w:sz w:val="24"/>
          <w:szCs w:val="24"/>
        </w:rPr>
        <w:fldChar w:fldCharType="begin" w:fldLock="1"/>
      </w:r>
      <w:r w:rsidR="00C83EBF" w:rsidRPr="001953E4">
        <w:rPr>
          <w:rFonts w:ascii="Times New Roman" w:hAnsi="Times New Roman"/>
          <w:sz w:val="24"/>
          <w:szCs w:val="24"/>
        </w:rPr>
        <w:instrText>ADDIN CSL_CITATION {"citationItems":[{"id":"ITEM-1","itemData":{"DOI":"10.1136/bmjopen-2017-019320","ISSN":"20446055","abstract":"background In the UK, general practitioners (GPs) are usually the first medical contact for patients with suspected giant cell arteritis (GCA). While rare, it is critical not to miss, as delayed treatment can lead to significant complications including permanent visual loss. To date, little is known about the approach and challenges to diagnosis and management of GCA by GPs. Objective To investigate the diagnosis and management of patients with suspected GCA in UK general practice. Design and participants A multimethods approach was taken, comprising a postal survey of 5000 randomly selected UK GPs and semistructured telephone interviews of 24 GPs from across the UK. setting UK general practice. results 1249 questionnaires were returned. 879 responders (70%) indicated that they had diagnosed and managed a patient with GCA. A variety of clinical features were used to identify GCA. 21.9% suggested that they would exclude GCA as a diagnosis if headache was absent and around one-third do not routinely initiate glucocorticoid treatment prior to referral. Significant regional variations in referral pathways were reported. Thematic analysis of interview transcripts highlighted fears relating to a missed diagnosis of GCA and the non-specific nature of early GCA presentation. Accessing specialist care was highlighted as challenging by many GPs and that a national standard fast-track pathway is lacking to support this patient group. Additionally there were significant concerns regarding potential adverse effects relating to long-term treatment with glucocorticoids. Conclusion GPs appear to over-rely on headache to identify GCA and marked geographical differences in management, with conflicting referral pathways and difficulties in accessing appropriate services exist in the UK. A national standard for fast-tracking patients with suspected GCA to relevant specialists would be beneficial to improve care and outcomes for patients with GCA.","author":[{"dropping-particle":"","family":"Helliwell","given":"Toby","non-dropping-particle":"","parse-names":false,"suffix":""},{"dropping-particle":"","family":"Muller","given":"Sara","non-dropping-particle":"","parse-names":false,"suffix":""},{"dropping-particle":"","family":"Hider","given":"Samantha L.","non-dropping-particle":"","parse-names":false,"suffix":""},{"dropping-particle":"","family":"Prior","given":"James A.","non-dropping-particle":"","parse-names":false,"suffix":""},{"dropping-particle":"","family":"Richardson","given":"Jane C.","non-dropping-particle":"","parse-names":false,"suffix":""},{"dropping-particle":"","family":"Mallen","given":"Christian D.","non-dropping-particle":"","parse-names":false,"suffix":""}],"container-title":"BMJ Open","id":"ITEM-1","issue":"2","issued":{"date-parts":[["2018"]]},"page":"1-8","title":"Challenges of diagnosis and management of giant cell arteritis in general practice: A multimethods study","type":"article-journal","volume":"8"},"uris":["http://www.mendeley.com/documents/?uuid=b14cbd1a-f7e6-4d66-b09c-671a0740f540"]}],"mendeley":{"formattedCitation":"&lt;sup&gt;8&lt;/sup&gt;","plainTextFormattedCitation":"8","previouslyFormattedCitation":"&lt;sup&gt;8&lt;/sup&gt;"},"properties":{"noteIndex":0},"schema":"https://github.com/citation-style-language/schema/raw/master/csl-citation.json"}</w:instrText>
      </w:r>
      <w:r w:rsidR="004F08FB" w:rsidRPr="001953E4">
        <w:rPr>
          <w:rFonts w:ascii="Times New Roman" w:hAnsi="Times New Roman"/>
          <w:sz w:val="24"/>
          <w:szCs w:val="24"/>
        </w:rPr>
        <w:fldChar w:fldCharType="separate"/>
      </w:r>
      <w:r w:rsidR="004F08FB" w:rsidRPr="001953E4">
        <w:rPr>
          <w:rFonts w:ascii="Times New Roman" w:hAnsi="Times New Roman"/>
          <w:noProof/>
          <w:sz w:val="24"/>
          <w:szCs w:val="24"/>
          <w:vertAlign w:val="superscript"/>
        </w:rPr>
        <w:t>8</w:t>
      </w:r>
      <w:r w:rsidR="004F08FB" w:rsidRPr="001953E4">
        <w:rPr>
          <w:rFonts w:ascii="Times New Roman" w:hAnsi="Times New Roman"/>
          <w:sz w:val="24"/>
          <w:szCs w:val="24"/>
        </w:rPr>
        <w:fldChar w:fldCharType="end"/>
      </w:r>
      <w:r w:rsidR="004F08FB" w:rsidRPr="001953E4">
        <w:rPr>
          <w:rFonts w:ascii="Times New Roman" w:hAnsi="Times New Roman"/>
          <w:sz w:val="24"/>
          <w:szCs w:val="24"/>
        </w:rPr>
        <w:t xml:space="preserve">, il numero dei MMG che hanno risposto al questionario era basso, pari al 25%. </w:t>
      </w:r>
      <w:r w:rsidRPr="001953E4">
        <w:rPr>
          <w:rFonts w:ascii="Times New Roman" w:hAnsi="Times New Roman"/>
          <w:sz w:val="24"/>
          <w:szCs w:val="24"/>
        </w:rPr>
        <w:t xml:space="preserve"> Ci possono essere ragioni diverse per spiegare questa </w:t>
      </w:r>
      <w:r w:rsidR="004F08FB" w:rsidRPr="001953E4">
        <w:rPr>
          <w:rFonts w:ascii="Times New Roman" w:hAnsi="Times New Roman"/>
          <w:sz w:val="24"/>
          <w:szCs w:val="24"/>
        </w:rPr>
        <w:t>modesta</w:t>
      </w:r>
      <w:r w:rsidRPr="001953E4">
        <w:rPr>
          <w:rFonts w:ascii="Times New Roman" w:hAnsi="Times New Roman"/>
          <w:sz w:val="24"/>
          <w:szCs w:val="24"/>
        </w:rPr>
        <w:t xml:space="preserve"> percentuale di risposte: il MMG riceve quasi quotidianamente richieste di partecipazione ad indagini e sondaggi e probabilmente, vista la complessità del suo lavoro, non ha il tempo e la voglia di soddisfare la curiosità altrui. </w:t>
      </w:r>
      <w:r w:rsidR="004F08FB" w:rsidRPr="001953E4">
        <w:rPr>
          <w:rFonts w:ascii="Times New Roman" w:hAnsi="Times New Roman"/>
          <w:sz w:val="24"/>
          <w:szCs w:val="24"/>
        </w:rPr>
        <w:t xml:space="preserve"> La burocratizzazione della medicina di base sottrae molte risorse all’attività clinica e di ricerca. </w:t>
      </w:r>
      <w:r w:rsidRPr="001953E4">
        <w:rPr>
          <w:rFonts w:ascii="Times New Roman" w:hAnsi="Times New Roman"/>
          <w:sz w:val="24"/>
          <w:szCs w:val="24"/>
        </w:rPr>
        <w:t xml:space="preserve">Inoltre, l’AGC è una malattia rara che forse la maggior parte dei MMG non ha mai incontrato, rendendo più difficile e meno interessante la compilazione del questionario. Per ultimo, la paura di essere giudicati in base alla correttezza o meno delle risposte potrebbe avere scoraggiato qualcuno dal partecipare. </w:t>
      </w:r>
    </w:p>
    <w:p w14:paraId="643C93C0" w14:textId="2841F749" w:rsidR="001A08BD" w:rsidRPr="001953E4" w:rsidRDefault="004F08FB" w:rsidP="001953E4">
      <w:pPr>
        <w:pStyle w:val="Paragrafoelenco"/>
        <w:spacing w:line="480" w:lineRule="auto"/>
        <w:ind w:left="0"/>
        <w:rPr>
          <w:rFonts w:ascii="Times New Roman" w:hAnsi="Times New Roman"/>
          <w:sz w:val="24"/>
          <w:szCs w:val="24"/>
        </w:rPr>
      </w:pPr>
      <w:r w:rsidRPr="001953E4">
        <w:rPr>
          <w:rFonts w:ascii="Times New Roman" w:hAnsi="Times New Roman"/>
          <w:sz w:val="24"/>
          <w:szCs w:val="24"/>
        </w:rPr>
        <w:t>Un risultato simile è stato ottenuto in altre ricerche svolte in cooperazione con i MMG genovesi sempre nell’ambito</w:t>
      </w:r>
      <w:r w:rsidR="008B731C" w:rsidRPr="001953E4">
        <w:rPr>
          <w:rFonts w:ascii="Times New Roman" w:hAnsi="Times New Roman"/>
          <w:sz w:val="24"/>
          <w:szCs w:val="24"/>
        </w:rPr>
        <w:t xml:space="preserve"> della preparazione di una tesi. La </w:t>
      </w:r>
      <w:r w:rsidR="001A08BD" w:rsidRPr="001953E4">
        <w:rPr>
          <w:rFonts w:ascii="Times New Roman" w:hAnsi="Times New Roman"/>
          <w:sz w:val="24"/>
          <w:szCs w:val="24"/>
        </w:rPr>
        <w:t xml:space="preserve">Tabella </w:t>
      </w:r>
      <w:r w:rsidR="00B07F50" w:rsidRPr="001953E4">
        <w:rPr>
          <w:rFonts w:ascii="Times New Roman" w:hAnsi="Times New Roman"/>
          <w:sz w:val="24"/>
          <w:szCs w:val="24"/>
        </w:rPr>
        <w:t>5</w:t>
      </w:r>
      <w:r w:rsidR="008B731C" w:rsidRPr="001953E4">
        <w:rPr>
          <w:rFonts w:ascii="Times New Roman" w:hAnsi="Times New Roman"/>
          <w:sz w:val="24"/>
          <w:szCs w:val="24"/>
        </w:rPr>
        <w:t xml:space="preserve"> riporta</w:t>
      </w:r>
      <w:r w:rsidR="001A08BD" w:rsidRPr="001953E4">
        <w:rPr>
          <w:rFonts w:ascii="Times New Roman" w:hAnsi="Times New Roman"/>
          <w:sz w:val="24"/>
          <w:szCs w:val="24"/>
        </w:rPr>
        <w:t xml:space="preserve"> la partecipazione dei MMG genovesi ad altre indagini scientifiche simili per metodo utilizzato e di cui era noto il numero totale dei MMG contattati al tempo dello studio</w:t>
      </w:r>
      <w:r w:rsidR="008B731C" w:rsidRPr="001953E4">
        <w:rPr>
          <w:rFonts w:ascii="Times New Roman" w:hAnsi="Times New Roman"/>
          <w:sz w:val="24"/>
          <w:szCs w:val="24"/>
        </w:rPr>
        <w:t>. C</w:t>
      </w:r>
      <w:r w:rsidR="001A08BD" w:rsidRPr="001953E4">
        <w:rPr>
          <w:rFonts w:ascii="Times New Roman" w:hAnsi="Times New Roman"/>
          <w:sz w:val="24"/>
          <w:szCs w:val="24"/>
        </w:rPr>
        <w:t xml:space="preserve">ome si può osservare la percentuale di rispondenti è confrontabile con quella del nostro studio. </w:t>
      </w:r>
    </w:p>
    <w:p w14:paraId="0968D278" w14:textId="77777777" w:rsidR="001A08BD" w:rsidRPr="001953E4" w:rsidRDefault="001A08BD" w:rsidP="001953E4">
      <w:pPr>
        <w:pStyle w:val="Paragrafoelenco"/>
        <w:spacing w:line="480" w:lineRule="auto"/>
        <w:ind w:left="0"/>
        <w:rPr>
          <w:rFonts w:ascii="Times New Roman" w:hAnsi="Times New Roman"/>
          <w:sz w:val="24"/>
          <w:szCs w:val="24"/>
        </w:rPr>
      </w:pPr>
    </w:p>
    <w:p w14:paraId="155EF9F9" w14:textId="1AB60452" w:rsidR="001A08BD" w:rsidRPr="001953E4" w:rsidRDefault="008B731C" w:rsidP="001953E4">
      <w:pPr>
        <w:pStyle w:val="Paragrafoelenco"/>
        <w:spacing w:line="480" w:lineRule="auto"/>
        <w:ind w:left="0"/>
        <w:rPr>
          <w:rFonts w:ascii="Times New Roman" w:hAnsi="Times New Roman"/>
          <w:sz w:val="24"/>
          <w:szCs w:val="24"/>
        </w:rPr>
      </w:pPr>
      <w:r w:rsidRPr="001953E4">
        <w:rPr>
          <w:rFonts w:ascii="Times New Roman" w:hAnsi="Times New Roman"/>
          <w:sz w:val="24"/>
          <w:szCs w:val="24"/>
        </w:rPr>
        <w:t xml:space="preserve">L’osservazione di queste percentuali di risposta da parte dei MMG genovesi, permette di </w:t>
      </w:r>
      <w:r w:rsidR="001A08BD" w:rsidRPr="001953E4">
        <w:rPr>
          <w:rFonts w:ascii="Times New Roman" w:hAnsi="Times New Roman"/>
          <w:sz w:val="24"/>
          <w:szCs w:val="24"/>
        </w:rPr>
        <w:t xml:space="preserve">ipotizzare due </w:t>
      </w:r>
      <w:r w:rsidRPr="001953E4">
        <w:rPr>
          <w:rFonts w:ascii="Times New Roman" w:hAnsi="Times New Roman"/>
          <w:sz w:val="24"/>
          <w:szCs w:val="24"/>
        </w:rPr>
        <w:t>possibilità</w:t>
      </w:r>
      <w:r w:rsidR="001A08BD" w:rsidRPr="001953E4">
        <w:rPr>
          <w:rFonts w:ascii="Times New Roman" w:hAnsi="Times New Roman"/>
          <w:sz w:val="24"/>
          <w:szCs w:val="24"/>
        </w:rPr>
        <w:t xml:space="preserve">: la prima di esse è che il numero di risposte sia maggiore in correlazione </w:t>
      </w:r>
      <w:r w:rsidRPr="001953E4">
        <w:rPr>
          <w:rFonts w:ascii="Times New Roman" w:hAnsi="Times New Roman"/>
          <w:sz w:val="24"/>
          <w:szCs w:val="24"/>
        </w:rPr>
        <w:t xml:space="preserve">alla frequenza delle malattie </w:t>
      </w:r>
      <w:r w:rsidR="001A08BD" w:rsidRPr="001953E4">
        <w:rPr>
          <w:rFonts w:ascii="Times New Roman" w:hAnsi="Times New Roman"/>
          <w:sz w:val="24"/>
          <w:szCs w:val="24"/>
        </w:rPr>
        <w:t>nella popolazione</w:t>
      </w:r>
      <w:r w:rsidRPr="001953E4">
        <w:rPr>
          <w:rFonts w:ascii="Times New Roman" w:hAnsi="Times New Roman"/>
          <w:sz w:val="24"/>
          <w:szCs w:val="24"/>
        </w:rPr>
        <w:t xml:space="preserve"> generale</w:t>
      </w:r>
      <w:r w:rsidR="001A08BD" w:rsidRPr="001953E4">
        <w:rPr>
          <w:rFonts w:ascii="Times New Roman" w:hAnsi="Times New Roman"/>
          <w:sz w:val="24"/>
          <w:szCs w:val="24"/>
        </w:rPr>
        <w:t xml:space="preserve">; la seconda ipotesi invece </w:t>
      </w:r>
      <w:r w:rsidRPr="001953E4">
        <w:rPr>
          <w:rFonts w:ascii="Times New Roman" w:hAnsi="Times New Roman"/>
          <w:sz w:val="24"/>
          <w:szCs w:val="24"/>
        </w:rPr>
        <w:t>si basa</w:t>
      </w:r>
      <w:r w:rsidR="001A08BD" w:rsidRPr="001953E4">
        <w:rPr>
          <w:rFonts w:ascii="Times New Roman" w:hAnsi="Times New Roman"/>
          <w:sz w:val="24"/>
          <w:szCs w:val="24"/>
        </w:rPr>
        <w:t xml:space="preserve"> </w:t>
      </w:r>
      <w:r w:rsidRPr="001953E4">
        <w:rPr>
          <w:rFonts w:ascii="Times New Roman" w:hAnsi="Times New Roman"/>
          <w:sz w:val="24"/>
          <w:szCs w:val="24"/>
        </w:rPr>
        <w:t>sul</w:t>
      </w:r>
      <w:r w:rsidR="001A08BD" w:rsidRPr="001953E4">
        <w:rPr>
          <w:rFonts w:ascii="Times New Roman" w:hAnsi="Times New Roman"/>
          <w:sz w:val="24"/>
          <w:szCs w:val="24"/>
        </w:rPr>
        <w:t>la diminuzione della percentuale di risposte evidenziat</w:t>
      </w:r>
      <w:r w:rsidRPr="001953E4">
        <w:rPr>
          <w:rFonts w:ascii="Times New Roman" w:hAnsi="Times New Roman"/>
          <w:sz w:val="24"/>
          <w:szCs w:val="24"/>
        </w:rPr>
        <w:t>a</w:t>
      </w:r>
      <w:r w:rsidR="001A08BD" w:rsidRPr="001953E4">
        <w:rPr>
          <w:rFonts w:ascii="Times New Roman" w:hAnsi="Times New Roman"/>
          <w:sz w:val="24"/>
          <w:szCs w:val="24"/>
        </w:rPr>
        <w:t xml:space="preserve"> nel corso degli anni (dal 2011 al 2018), che si potrebbe imputare, come precedentemente detto, anche ad un progressivo aumento d</w:t>
      </w:r>
      <w:r w:rsidRPr="001953E4">
        <w:rPr>
          <w:rFonts w:ascii="Times New Roman" w:hAnsi="Times New Roman"/>
          <w:sz w:val="24"/>
          <w:szCs w:val="24"/>
        </w:rPr>
        <w:t xml:space="preserve">el carico di richieste che pervengono al </w:t>
      </w:r>
      <w:r w:rsidR="001A08BD" w:rsidRPr="001953E4">
        <w:rPr>
          <w:rFonts w:ascii="Times New Roman" w:hAnsi="Times New Roman"/>
          <w:sz w:val="24"/>
          <w:szCs w:val="24"/>
        </w:rPr>
        <w:t>MMG</w:t>
      </w:r>
      <w:r w:rsidRPr="001953E4">
        <w:rPr>
          <w:rFonts w:ascii="Times New Roman" w:hAnsi="Times New Roman"/>
          <w:sz w:val="24"/>
          <w:szCs w:val="24"/>
        </w:rPr>
        <w:t>.</w:t>
      </w:r>
    </w:p>
    <w:p w14:paraId="15035CB3" w14:textId="366EEB8F" w:rsidR="001A08BD" w:rsidRPr="001953E4" w:rsidRDefault="001A08BD" w:rsidP="001953E4">
      <w:pPr>
        <w:pStyle w:val="Paragrafoelenco"/>
        <w:spacing w:line="480" w:lineRule="auto"/>
        <w:ind w:left="0"/>
        <w:rPr>
          <w:rFonts w:ascii="Times New Roman" w:hAnsi="Times New Roman"/>
          <w:sz w:val="24"/>
          <w:szCs w:val="24"/>
        </w:rPr>
      </w:pPr>
      <w:r w:rsidRPr="001953E4">
        <w:rPr>
          <w:rFonts w:ascii="Times New Roman" w:hAnsi="Times New Roman"/>
          <w:sz w:val="24"/>
          <w:szCs w:val="24"/>
        </w:rPr>
        <w:t xml:space="preserve">Per quanto non generalizzabile, il risultato del nostro studio, che ha </w:t>
      </w:r>
      <w:r w:rsidR="001C7F2F" w:rsidRPr="001953E4">
        <w:rPr>
          <w:rFonts w:ascii="Times New Roman" w:hAnsi="Times New Roman"/>
          <w:sz w:val="24"/>
          <w:szCs w:val="24"/>
        </w:rPr>
        <w:t xml:space="preserve">visto rispondere </w:t>
      </w:r>
      <w:r w:rsidRPr="001953E4">
        <w:rPr>
          <w:rFonts w:ascii="Times New Roman" w:hAnsi="Times New Roman"/>
          <w:sz w:val="24"/>
          <w:szCs w:val="24"/>
        </w:rPr>
        <w:t xml:space="preserve">probabilmente </w:t>
      </w:r>
      <w:r w:rsidR="001C7F2F" w:rsidRPr="001953E4">
        <w:rPr>
          <w:rFonts w:ascii="Times New Roman" w:hAnsi="Times New Roman"/>
          <w:sz w:val="24"/>
          <w:szCs w:val="24"/>
        </w:rPr>
        <w:t xml:space="preserve">un sottogruppo di </w:t>
      </w:r>
      <w:r w:rsidRPr="001953E4">
        <w:rPr>
          <w:rFonts w:ascii="Times New Roman" w:hAnsi="Times New Roman"/>
          <w:sz w:val="24"/>
          <w:szCs w:val="24"/>
        </w:rPr>
        <w:t>MMG già sensibili all’argomento</w:t>
      </w:r>
      <w:r w:rsidR="001C7F2F" w:rsidRPr="001953E4">
        <w:rPr>
          <w:rFonts w:ascii="Times New Roman" w:hAnsi="Times New Roman"/>
          <w:sz w:val="24"/>
          <w:szCs w:val="24"/>
        </w:rPr>
        <w:t>, perché forse hanno seguito pazienti con AGC</w:t>
      </w:r>
      <w:r w:rsidRPr="001953E4">
        <w:rPr>
          <w:rFonts w:ascii="Times New Roman" w:hAnsi="Times New Roman"/>
          <w:sz w:val="24"/>
          <w:szCs w:val="24"/>
        </w:rPr>
        <w:t xml:space="preserve">, può essere utile per una valutazione dell’atteggiamento nei confronti della malattia. </w:t>
      </w:r>
    </w:p>
    <w:p w14:paraId="3D07EB76" w14:textId="77777777" w:rsidR="0043099C" w:rsidRPr="001953E4" w:rsidRDefault="0043099C" w:rsidP="001953E4">
      <w:pPr>
        <w:pStyle w:val="Paragrafoelenco"/>
        <w:spacing w:line="480" w:lineRule="auto"/>
        <w:ind w:left="0"/>
        <w:rPr>
          <w:rFonts w:ascii="Times New Roman" w:hAnsi="Times New Roman"/>
          <w:sz w:val="24"/>
          <w:szCs w:val="24"/>
        </w:rPr>
      </w:pPr>
    </w:p>
    <w:p w14:paraId="73E0DCB0" w14:textId="77777777" w:rsidR="001A08BD" w:rsidRDefault="001A08BD" w:rsidP="00360681">
      <w:pPr>
        <w:pStyle w:val="Paragrafoelenco"/>
        <w:spacing w:line="240" w:lineRule="auto"/>
        <w:ind w:left="0"/>
        <w:rPr>
          <w:rFonts w:ascii="Times New Roman" w:hAnsi="Times New Roman"/>
        </w:rPr>
      </w:pPr>
      <w:r w:rsidRPr="00F555AD">
        <w:rPr>
          <w:rFonts w:ascii="Times New Roman" w:hAnsi="Times New Roman"/>
        </w:rPr>
        <w:t>Tabella 5. Numero di risposte ottenute ai questionari inviati a MMG in alcune tesi precedenti</w:t>
      </w:r>
    </w:p>
    <w:tbl>
      <w:tblPr>
        <w:tblW w:w="6550" w:type="dxa"/>
        <w:tblCellMar>
          <w:left w:w="70" w:type="dxa"/>
          <w:right w:w="70" w:type="dxa"/>
        </w:tblCellMar>
        <w:tblLook w:val="04A0" w:firstRow="1" w:lastRow="0" w:firstColumn="1" w:lastColumn="0" w:noHBand="0" w:noVBand="1"/>
      </w:tblPr>
      <w:tblGrid>
        <w:gridCol w:w="2848"/>
        <w:gridCol w:w="1037"/>
        <w:gridCol w:w="1312"/>
        <w:gridCol w:w="1013"/>
        <w:gridCol w:w="1444"/>
      </w:tblGrid>
      <w:tr w:rsidR="00EA0E52" w:rsidRPr="00EA0E52" w14:paraId="0C590D5F" w14:textId="77777777" w:rsidTr="005E6E8B">
        <w:trPr>
          <w:trHeight w:val="867"/>
        </w:trPr>
        <w:tc>
          <w:tcPr>
            <w:tcW w:w="2848" w:type="dxa"/>
            <w:tcBorders>
              <w:top w:val="single" w:sz="4" w:space="0" w:color="4472C4"/>
              <w:left w:val="single" w:sz="4" w:space="0" w:color="4472C4"/>
              <w:bottom w:val="single" w:sz="8" w:space="0" w:color="4472C4"/>
              <w:right w:val="single" w:sz="4" w:space="0" w:color="4472C4"/>
            </w:tcBorders>
            <w:shd w:val="clear" w:color="auto" w:fill="B8CCE4" w:themeFill="accent1" w:themeFillTint="66"/>
            <w:noWrap/>
            <w:hideMark/>
          </w:tcPr>
          <w:p w14:paraId="147F4F71" w14:textId="77777777" w:rsidR="00EA0E52" w:rsidRPr="00EA0E52" w:rsidRDefault="00EA0E52" w:rsidP="00EA0E52">
            <w:pPr>
              <w:spacing w:after="0" w:line="240" w:lineRule="auto"/>
              <w:rPr>
                <w:rFonts w:ascii="Calibri" w:eastAsia="Times New Roman" w:hAnsi="Calibri" w:cs="Calibri"/>
                <w:b/>
                <w:bCs/>
                <w:color w:val="FFFFFF" w:themeColor="background1"/>
                <w:lang w:eastAsia="it-IT"/>
              </w:rPr>
            </w:pPr>
            <w:r w:rsidRPr="00EA0E52">
              <w:rPr>
                <w:rFonts w:ascii="Calibri" w:eastAsia="Times New Roman" w:hAnsi="Calibri" w:cs="Calibri"/>
                <w:b/>
                <w:bCs/>
                <w:color w:val="FFFFFF" w:themeColor="background1"/>
                <w:lang w:eastAsia="it-IT"/>
              </w:rPr>
              <w:t>TITOLO TESI</w:t>
            </w:r>
          </w:p>
        </w:tc>
        <w:tc>
          <w:tcPr>
            <w:tcW w:w="915" w:type="dxa"/>
            <w:tcBorders>
              <w:top w:val="single" w:sz="4" w:space="0" w:color="4472C4"/>
              <w:left w:val="single" w:sz="4" w:space="0" w:color="4472C4"/>
              <w:bottom w:val="single" w:sz="8" w:space="0" w:color="4472C4"/>
              <w:right w:val="single" w:sz="4" w:space="0" w:color="4472C4"/>
            </w:tcBorders>
            <w:shd w:val="clear" w:color="auto" w:fill="B8CCE4" w:themeFill="accent1" w:themeFillTint="66"/>
            <w:noWrap/>
            <w:hideMark/>
          </w:tcPr>
          <w:p w14:paraId="73174D22" w14:textId="77777777" w:rsidR="00EA0E52" w:rsidRPr="00EA0E52" w:rsidRDefault="00EA0E52" w:rsidP="00EA0E52">
            <w:pPr>
              <w:spacing w:after="0" w:line="240" w:lineRule="auto"/>
              <w:rPr>
                <w:rFonts w:ascii="Calibri" w:eastAsia="Times New Roman" w:hAnsi="Calibri" w:cs="Calibri"/>
                <w:b/>
                <w:bCs/>
                <w:color w:val="FFFFFF" w:themeColor="background1"/>
                <w:lang w:eastAsia="it-IT"/>
              </w:rPr>
            </w:pPr>
            <w:r w:rsidRPr="00EA0E52">
              <w:rPr>
                <w:rFonts w:ascii="Calibri" w:eastAsia="Times New Roman" w:hAnsi="Calibri" w:cs="Calibri"/>
                <w:b/>
                <w:bCs/>
                <w:color w:val="FFFFFF" w:themeColor="background1"/>
                <w:lang w:eastAsia="it-IT"/>
              </w:rPr>
              <w:t>DATA</w:t>
            </w:r>
          </w:p>
        </w:tc>
        <w:tc>
          <w:tcPr>
            <w:tcW w:w="970" w:type="dxa"/>
            <w:tcBorders>
              <w:top w:val="single" w:sz="4" w:space="0" w:color="4472C4"/>
              <w:left w:val="single" w:sz="4" w:space="0" w:color="4472C4"/>
              <w:bottom w:val="single" w:sz="8" w:space="0" w:color="4472C4"/>
              <w:right w:val="single" w:sz="4" w:space="0" w:color="4472C4"/>
            </w:tcBorders>
            <w:shd w:val="clear" w:color="auto" w:fill="B8CCE4" w:themeFill="accent1" w:themeFillTint="66"/>
            <w:hideMark/>
          </w:tcPr>
          <w:p w14:paraId="5FF6FC33" w14:textId="77777777" w:rsidR="00EA0E52" w:rsidRPr="00EA0E52" w:rsidRDefault="00EA0E52" w:rsidP="00EA0E52">
            <w:pPr>
              <w:spacing w:after="0" w:line="240" w:lineRule="auto"/>
              <w:rPr>
                <w:rFonts w:ascii="Calibri" w:eastAsia="Times New Roman" w:hAnsi="Calibri" w:cs="Calibri"/>
                <w:b/>
                <w:bCs/>
                <w:color w:val="FFFFFF" w:themeColor="background1"/>
                <w:lang w:eastAsia="it-IT"/>
              </w:rPr>
            </w:pPr>
            <w:r w:rsidRPr="00EA0E52">
              <w:rPr>
                <w:rFonts w:ascii="Calibri" w:eastAsia="Times New Roman" w:hAnsi="Calibri" w:cs="Calibri"/>
                <w:b/>
                <w:bCs/>
                <w:color w:val="FFFFFF" w:themeColor="background1"/>
                <w:lang w:eastAsia="it-IT"/>
              </w:rPr>
              <w:t>MMG CONTATTATI</w:t>
            </w:r>
          </w:p>
        </w:tc>
        <w:tc>
          <w:tcPr>
            <w:tcW w:w="749" w:type="dxa"/>
            <w:tcBorders>
              <w:top w:val="single" w:sz="4" w:space="0" w:color="4472C4"/>
              <w:left w:val="single" w:sz="4" w:space="0" w:color="4472C4"/>
              <w:bottom w:val="single" w:sz="8" w:space="0" w:color="4472C4"/>
              <w:right w:val="single" w:sz="4" w:space="0" w:color="4472C4"/>
            </w:tcBorders>
            <w:shd w:val="clear" w:color="auto" w:fill="B8CCE4" w:themeFill="accent1" w:themeFillTint="66"/>
            <w:hideMark/>
          </w:tcPr>
          <w:p w14:paraId="21360B45" w14:textId="77777777" w:rsidR="00EA0E52" w:rsidRPr="00EA0E52" w:rsidRDefault="00EA0E52" w:rsidP="00EA0E52">
            <w:pPr>
              <w:spacing w:after="0" w:line="240" w:lineRule="auto"/>
              <w:rPr>
                <w:rFonts w:ascii="Calibri" w:eastAsia="Times New Roman" w:hAnsi="Calibri" w:cs="Calibri"/>
                <w:b/>
                <w:bCs/>
                <w:color w:val="FFFFFF" w:themeColor="background1"/>
                <w:lang w:eastAsia="it-IT"/>
              </w:rPr>
            </w:pPr>
            <w:r w:rsidRPr="00EA0E52">
              <w:rPr>
                <w:rFonts w:ascii="Calibri" w:eastAsia="Times New Roman" w:hAnsi="Calibri" w:cs="Calibri"/>
                <w:b/>
                <w:bCs/>
                <w:color w:val="FFFFFF" w:themeColor="background1"/>
                <w:lang w:eastAsia="it-IT"/>
              </w:rPr>
              <w:t>NUMERO RISPOSTE</w:t>
            </w:r>
          </w:p>
        </w:tc>
        <w:tc>
          <w:tcPr>
            <w:tcW w:w="1068" w:type="dxa"/>
            <w:tcBorders>
              <w:top w:val="single" w:sz="4" w:space="0" w:color="4472C4"/>
              <w:left w:val="single" w:sz="4" w:space="0" w:color="4472C4"/>
              <w:bottom w:val="single" w:sz="8" w:space="0" w:color="4472C4"/>
              <w:right w:val="single" w:sz="4" w:space="0" w:color="4472C4"/>
            </w:tcBorders>
            <w:shd w:val="clear" w:color="auto" w:fill="B8CCE4" w:themeFill="accent1" w:themeFillTint="66"/>
            <w:hideMark/>
          </w:tcPr>
          <w:p w14:paraId="315B0845" w14:textId="77777777" w:rsidR="00EA0E52" w:rsidRPr="005E6E8B" w:rsidRDefault="00EA0E52" w:rsidP="00EA0E52">
            <w:pPr>
              <w:spacing w:after="0" w:line="240" w:lineRule="auto"/>
              <w:rPr>
                <w:rFonts w:ascii="Calibri" w:eastAsia="Times New Roman" w:hAnsi="Calibri" w:cs="Calibri"/>
                <w:b/>
                <w:bCs/>
                <w:color w:val="FFFFFF" w:themeColor="background1"/>
                <w:lang w:eastAsia="it-IT"/>
              </w:rPr>
            </w:pPr>
            <w:r w:rsidRPr="005E6E8B">
              <w:rPr>
                <w:rFonts w:ascii="Calibri" w:eastAsia="Times New Roman" w:hAnsi="Calibri" w:cs="Calibri"/>
                <w:b/>
                <w:bCs/>
                <w:color w:val="FFFFFF" w:themeColor="background1"/>
                <w:lang w:eastAsia="it-IT"/>
              </w:rPr>
              <w:t>PERCENTUALE RISPONDENTI</w:t>
            </w:r>
          </w:p>
        </w:tc>
      </w:tr>
      <w:tr w:rsidR="00EA0E52" w:rsidRPr="00EA0E52" w14:paraId="0ACF5F1E" w14:textId="77777777" w:rsidTr="00EA0E52">
        <w:trPr>
          <w:trHeight w:val="1189"/>
        </w:trPr>
        <w:tc>
          <w:tcPr>
            <w:tcW w:w="2848" w:type="dxa"/>
            <w:tcBorders>
              <w:top w:val="single" w:sz="4" w:space="0" w:color="4472C4"/>
              <w:left w:val="single" w:sz="4" w:space="0" w:color="4472C4"/>
              <w:bottom w:val="single" w:sz="4" w:space="0" w:color="4472C4"/>
              <w:right w:val="single" w:sz="4" w:space="0" w:color="4472C4"/>
            </w:tcBorders>
            <w:shd w:val="clear" w:color="auto" w:fill="auto"/>
            <w:hideMark/>
          </w:tcPr>
          <w:p w14:paraId="4F62A1DE" w14:textId="77777777" w:rsidR="00EA0E52" w:rsidRPr="00EA0E52" w:rsidRDefault="00EA0E52" w:rsidP="00EA0E52">
            <w:pPr>
              <w:spacing w:after="0" w:line="240" w:lineRule="auto"/>
              <w:rPr>
                <w:rFonts w:ascii="Times New Roman" w:eastAsia="Times New Roman" w:hAnsi="Times New Roman" w:cs="Times New Roman"/>
                <w:color w:val="000000"/>
                <w:sz w:val="18"/>
                <w:szCs w:val="18"/>
                <w:lang w:eastAsia="it-IT"/>
              </w:rPr>
            </w:pPr>
            <w:r w:rsidRPr="00EA0E52">
              <w:rPr>
                <w:rFonts w:ascii="Times New Roman" w:eastAsia="Times New Roman" w:hAnsi="Times New Roman" w:cs="Times New Roman"/>
                <w:color w:val="000000"/>
                <w:sz w:val="18"/>
                <w:szCs w:val="18"/>
                <w:lang w:eastAsia="it-IT"/>
              </w:rPr>
              <w:t>Studio retrospettivo sull'utilizzo dei farmaci nefrotossici nei pazienti affetti da insufficienza renale in cura presso i medici di famiglia di Genova</w:t>
            </w:r>
          </w:p>
        </w:tc>
        <w:tc>
          <w:tcPr>
            <w:tcW w:w="915" w:type="dxa"/>
            <w:tcBorders>
              <w:top w:val="single" w:sz="4" w:space="0" w:color="4472C4"/>
              <w:left w:val="single" w:sz="4" w:space="0" w:color="4472C4"/>
              <w:bottom w:val="single" w:sz="4" w:space="0" w:color="4472C4"/>
              <w:right w:val="single" w:sz="4" w:space="0" w:color="4472C4"/>
            </w:tcBorders>
            <w:shd w:val="clear" w:color="auto" w:fill="auto"/>
            <w:noWrap/>
            <w:hideMark/>
          </w:tcPr>
          <w:p w14:paraId="15E8AFDF" w14:textId="77777777" w:rsidR="00EA0E52" w:rsidRPr="00EA0E52" w:rsidRDefault="00EA0E52" w:rsidP="00EA0E52">
            <w:pPr>
              <w:spacing w:after="0" w:line="240" w:lineRule="auto"/>
              <w:rPr>
                <w:rFonts w:ascii="Calibri" w:eastAsia="Times New Roman" w:hAnsi="Calibri" w:cs="Calibri"/>
                <w:color w:val="000000"/>
                <w:sz w:val="18"/>
                <w:szCs w:val="18"/>
                <w:lang w:eastAsia="it-IT"/>
              </w:rPr>
            </w:pPr>
            <w:r w:rsidRPr="00EA0E52">
              <w:rPr>
                <w:rFonts w:ascii="Calibri" w:eastAsia="Times New Roman" w:hAnsi="Calibri" w:cs="Calibri"/>
                <w:color w:val="000000"/>
                <w:sz w:val="18"/>
                <w:szCs w:val="18"/>
                <w:lang w:eastAsia="it-IT"/>
              </w:rPr>
              <w:t>24/O7/2018</w:t>
            </w:r>
          </w:p>
        </w:tc>
        <w:tc>
          <w:tcPr>
            <w:tcW w:w="970" w:type="dxa"/>
            <w:tcBorders>
              <w:top w:val="single" w:sz="4" w:space="0" w:color="4472C4"/>
              <w:left w:val="single" w:sz="4" w:space="0" w:color="4472C4"/>
              <w:bottom w:val="single" w:sz="4" w:space="0" w:color="4472C4"/>
              <w:right w:val="single" w:sz="4" w:space="0" w:color="4472C4"/>
            </w:tcBorders>
            <w:shd w:val="clear" w:color="auto" w:fill="auto"/>
            <w:noWrap/>
            <w:hideMark/>
          </w:tcPr>
          <w:p w14:paraId="1AAFB8E8" w14:textId="77777777" w:rsidR="00EA0E52" w:rsidRPr="00EA0E52" w:rsidRDefault="00EA0E52" w:rsidP="00EA0E52">
            <w:pPr>
              <w:spacing w:after="0" w:line="240" w:lineRule="auto"/>
              <w:jc w:val="right"/>
              <w:rPr>
                <w:rFonts w:ascii="Calibri" w:eastAsia="Times New Roman" w:hAnsi="Calibri" w:cs="Calibri"/>
                <w:color w:val="000000"/>
                <w:sz w:val="18"/>
                <w:szCs w:val="18"/>
                <w:lang w:eastAsia="it-IT"/>
              </w:rPr>
            </w:pPr>
            <w:r w:rsidRPr="00EA0E52">
              <w:rPr>
                <w:rFonts w:ascii="Calibri" w:eastAsia="Times New Roman" w:hAnsi="Calibri" w:cs="Calibri"/>
                <w:color w:val="000000"/>
                <w:sz w:val="18"/>
                <w:szCs w:val="18"/>
                <w:lang w:eastAsia="it-IT"/>
              </w:rPr>
              <w:t>500</w:t>
            </w:r>
          </w:p>
        </w:tc>
        <w:tc>
          <w:tcPr>
            <w:tcW w:w="749" w:type="dxa"/>
            <w:tcBorders>
              <w:top w:val="single" w:sz="4" w:space="0" w:color="4472C4"/>
              <w:left w:val="single" w:sz="4" w:space="0" w:color="4472C4"/>
              <w:bottom w:val="single" w:sz="4" w:space="0" w:color="4472C4"/>
              <w:right w:val="single" w:sz="4" w:space="0" w:color="4472C4"/>
            </w:tcBorders>
            <w:shd w:val="clear" w:color="auto" w:fill="auto"/>
            <w:noWrap/>
            <w:hideMark/>
          </w:tcPr>
          <w:p w14:paraId="62556D47" w14:textId="77777777" w:rsidR="00EA0E52" w:rsidRPr="00EA0E52" w:rsidRDefault="00EA0E52" w:rsidP="00EA0E52">
            <w:pPr>
              <w:spacing w:after="0" w:line="240" w:lineRule="auto"/>
              <w:jc w:val="right"/>
              <w:rPr>
                <w:rFonts w:ascii="Calibri" w:eastAsia="Times New Roman" w:hAnsi="Calibri" w:cs="Calibri"/>
                <w:color w:val="000000"/>
                <w:sz w:val="18"/>
                <w:szCs w:val="18"/>
                <w:lang w:eastAsia="it-IT"/>
              </w:rPr>
            </w:pPr>
            <w:r w:rsidRPr="00EA0E52">
              <w:rPr>
                <w:rFonts w:ascii="Calibri" w:eastAsia="Times New Roman" w:hAnsi="Calibri" w:cs="Calibri"/>
                <w:color w:val="000000"/>
                <w:sz w:val="18"/>
                <w:szCs w:val="18"/>
                <w:lang w:eastAsia="it-IT"/>
              </w:rPr>
              <w:t>12</w:t>
            </w:r>
          </w:p>
        </w:tc>
        <w:tc>
          <w:tcPr>
            <w:tcW w:w="1068" w:type="dxa"/>
            <w:tcBorders>
              <w:top w:val="single" w:sz="4" w:space="0" w:color="4472C4"/>
              <w:left w:val="single" w:sz="4" w:space="0" w:color="4472C4"/>
              <w:bottom w:val="single" w:sz="4" w:space="0" w:color="4472C4"/>
              <w:right w:val="single" w:sz="4" w:space="0" w:color="4472C4"/>
            </w:tcBorders>
            <w:shd w:val="clear" w:color="auto" w:fill="auto"/>
            <w:noWrap/>
            <w:hideMark/>
          </w:tcPr>
          <w:p w14:paraId="024E2433" w14:textId="77777777" w:rsidR="00EA0E52" w:rsidRPr="00EA0E52" w:rsidRDefault="00EA0E52" w:rsidP="00EA0E52">
            <w:pPr>
              <w:spacing w:after="0" w:line="240" w:lineRule="auto"/>
              <w:jc w:val="right"/>
              <w:rPr>
                <w:rFonts w:ascii="Calibri" w:eastAsia="Times New Roman" w:hAnsi="Calibri" w:cs="Calibri"/>
                <w:color w:val="000000"/>
                <w:sz w:val="18"/>
                <w:szCs w:val="18"/>
                <w:lang w:eastAsia="it-IT"/>
              </w:rPr>
            </w:pPr>
            <w:r w:rsidRPr="00EA0E52">
              <w:rPr>
                <w:rFonts w:ascii="Calibri" w:eastAsia="Times New Roman" w:hAnsi="Calibri" w:cs="Calibri"/>
                <w:color w:val="000000"/>
                <w:sz w:val="18"/>
                <w:szCs w:val="18"/>
                <w:lang w:eastAsia="it-IT"/>
              </w:rPr>
              <w:t>2,40%</w:t>
            </w:r>
          </w:p>
        </w:tc>
      </w:tr>
      <w:tr w:rsidR="00EA0E52" w:rsidRPr="00EA0E52" w14:paraId="078420D4" w14:textId="77777777" w:rsidTr="00EA0E52">
        <w:trPr>
          <w:trHeight w:val="1189"/>
        </w:trPr>
        <w:tc>
          <w:tcPr>
            <w:tcW w:w="2848" w:type="dxa"/>
            <w:tcBorders>
              <w:top w:val="single" w:sz="8" w:space="0" w:color="8EA9DB"/>
              <w:left w:val="single" w:sz="8" w:space="0" w:color="8EA9DB"/>
              <w:bottom w:val="single" w:sz="8" w:space="0" w:color="8EA9DB"/>
              <w:right w:val="single" w:sz="4" w:space="0" w:color="4472C4"/>
            </w:tcBorders>
            <w:shd w:val="clear" w:color="auto" w:fill="auto"/>
            <w:hideMark/>
          </w:tcPr>
          <w:p w14:paraId="5080CA48" w14:textId="77777777" w:rsidR="00EA0E52" w:rsidRPr="00EA0E52" w:rsidRDefault="00EA0E52" w:rsidP="00EA0E52">
            <w:pPr>
              <w:spacing w:after="0" w:line="240" w:lineRule="auto"/>
              <w:rPr>
                <w:rFonts w:ascii="Times New Roman" w:eastAsia="Times New Roman" w:hAnsi="Times New Roman" w:cs="Times New Roman"/>
                <w:color w:val="000000"/>
                <w:sz w:val="18"/>
                <w:szCs w:val="18"/>
                <w:lang w:eastAsia="it-IT"/>
              </w:rPr>
            </w:pPr>
            <w:r w:rsidRPr="00EA0E52">
              <w:rPr>
                <w:rFonts w:ascii="Times New Roman" w:eastAsia="Times New Roman" w:hAnsi="Times New Roman" w:cs="Times New Roman"/>
                <w:color w:val="000000"/>
                <w:sz w:val="18"/>
                <w:szCs w:val="18"/>
                <w:lang w:eastAsia="it-IT"/>
              </w:rPr>
              <w:t>Patologie e problemi alcool correlati: i dati di un'inchiesta sull'impatto del fenomeno e sulle possibili soluzioni nel setting del medico di famiglia genovese</w:t>
            </w:r>
          </w:p>
        </w:tc>
        <w:tc>
          <w:tcPr>
            <w:tcW w:w="915" w:type="dxa"/>
            <w:tcBorders>
              <w:top w:val="single" w:sz="4" w:space="0" w:color="4472C4"/>
              <w:left w:val="single" w:sz="4" w:space="0" w:color="4472C4"/>
              <w:bottom w:val="single" w:sz="4" w:space="0" w:color="4472C4"/>
              <w:right w:val="single" w:sz="4" w:space="0" w:color="4472C4"/>
            </w:tcBorders>
            <w:shd w:val="clear" w:color="auto" w:fill="auto"/>
            <w:noWrap/>
            <w:hideMark/>
          </w:tcPr>
          <w:p w14:paraId="77DD0875" w14:textId="77777777" w:rsidR="00EA0E52" w:rsidRPr="00390781" w:rsidRDefault="00EA0E52" w:rsidP="00EA0E52">
            <w:pPr>
              <w:spacing w:after="0" w:line="240" w:lineRule="auto"/>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31/O3/2014</w:t>
            </w:r>
          </w:p>
        </w:tc>
        <w:tc>
          <w:tcPr>
            <w:tcW w:w="970" w:type="dxa"/>
            <w:tcBorders>
              <w:top w:val="single" w:sz="4" w:space="0" w:color="4472C4"/>
              <w:left w:val="single" w:sz="4" w:space="0" w:color="4472C4"/>
              <w:bottom w:val="single" w:sz="4" w:space="0" w:color="4472C4"/>
              <w:right w:val="single" w:sz="4" w:space="0" w:color="4472C4"/>
            </w:tcBorders>
            <w:shd w:val="clear" w:color="auto" w:fill="auto"/>
            <w:noWrap/>
            <w:hideMark/>
          </w:tcPr>
          <w:p w14:paraId="759A5907" w14:textId="77777777" w:rsidR="00EA0E52" w:rsidRPr="00390781" w:rsidRDefault="00EA0E52" w:rsidP="00EA0E52">
            <w:pPr>
              <w:spacing w:after="0" w:line="240" w:lineRule="auto"/>
              <w:jc w:val="right"/>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522</w:t>
            </w:r>
          </w:p>
        </w:tc>
        <w:tc>
          <w:tcPr>
            <w:tcW w:w="749" w:type="dxa"/>
            <w:tcBorders>
              <w:top w:val="single" w:sz="4" w:space="0" w:color="4472C4"/>
              <w:left w:val="single" w:sz="4" w:space="0" w:color="4472C4"/>
              <w:bottom w:val="single" w:sz="4" w:space="0" w:color="4472C4"/>
              <w:right w:val="single" w:sz="4" w:space="0" w:color="4472C4"/>
            </w:tcBorders>
            <w:shd w:val="clear" w:color="auto" w:fill="auto"/>
            <w:noWrap/>
            <w:hideMark/>
          </w:tcPr>
          <w:p w14:paraId="3D564A5E" w14:textId="77777777" w:rsidR="00EA0E52" w:rsidRPr="00390781" w:rsidRDefault="00EA0E52" w:rsidP="00EA0E52">
            <w:pPr>
              <w:spacing w:after="0" w:line="240" w:lineRule="auto"/>
              <w:jc w:val="right"/>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64</w:t>
            </w:r>
          </w:p>
        </w:tc>
        <w:tc>
          <w:tcPr>
            <w:tcW w:w="1068" w:type="dxa"/>
            <w:tcBorders>
              <w:top w:val="single" w:sz="4" w:space="0" w:color="4472C4"/>
              <w:left w:val="single" w:sz="4" w:space="0" w:color="4472C4"/>
              <w:bottom w:val="single" w:sz="4" w:space="0" w:color="4472C4"/>
              <w:right w:val="single" w:sz="4" w:space="0" w:color="4472C4"/>
            </w:tcBorders>
            <w:shd w:val="clear" w:color="auto" w:fill="auto"/>
            <w:noWrap/>
            <w:hideMark/>
          </w:tcPr>
          <w:p w14:paraId="326FD67C" w14:textId="77777777" w:rsidR="00EA0E52" w:rsidRPr="00390781" w:rsidRDefault="00EA0E52" w:rsidP="00EA0E52">
            <w:pPr>
              <w:spacing w:after="0" w:line="240" w:lineRule="auto"/>
              <w:jc w:val="right"/>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12,26%</w:t>
            </w:r>
          </w:p>
        </w:tc>
      </w:tr>
      <w:tr w:rsidR="00EA0E52" w:rsidRPr="00EA0E52" w14:paraId="1A16018C" w14:textId="77777777" w:rsidTr="00EA0E52">
        <w:trPr>
          <w:trHeight w:val="1475"/>
        </w:trPr>
        <w:tc>
          <w:tcPr>
            <w:tcW w:w="2848" w:type="dxa"/>
            <w:tcBorders>
              <w:top w:val="single" w:sz="4" w:space="0" w:color="4472C4"/>
              <w:left w:val="single" w:sz="4" w:space="0" w:color="4472C4"/>
              <w:bottom w:val="single" w:sz="4" w:space="0" w:color="4472C4"/>
              <w:right w:val="single" w:sz="4" w:space="0" w:color="4472C4"/>
            </w:tcBorders>
            <w:shd w:val="clear" w:color="auto" w:fill="auto"/>
            <w:hideMark/>
          </w:tcPr>
          <w:p w14:paraId="72EC06F5" w14:textId="77777777" w:rsidR="00EA0E52" w:rsidRPr="00EA0E52" w:rsidRDefault="00EA0E52" w:rsidP="00EA0E52">
            <w:pPr>
              <w:spacing w:after="0" w:line="240" w:lineRule="auto"/>
              <w:rPr>
                <w:rFonts w:ascii="Times New Roman" w:eastAsia="Times New Roman" w:hAnsi="Times New Roman" w:cs="Times New Roman"/>
                <w:color w:val="000000"/>
                <w:sz w:val="18"/>
                <w:szCs w:val="18"/>
                <w:lang w:eastAsia="it-IT"/>
              </w:rPr>
            </w:pPr>
            <w:r w:rsidRPr="00EA0E52">
              <w:rPr>
                <w:rFonts w:ascii="Times New Roman" w:eastAsia="Times New Roman" w:hAnsi="Times New Roman" w:cs="Times New Roman"/>
                <w:color w:val="000000"/>
                <w:sz w:val="18"/>
                <w:szCs w:val="18"/>
                <w:lang w:eastAsia="it-IT"/>
              </w:rPr>
              <w:t>Impiego dei beta bloccanti nella gestione dello scompenso cardiaco in medicina generale: i risultati di un'analisi retrospettiva sulla base dell'esperienza ambulatoriale presso lo studio di un MMG</w:t>
            </w:r>
          </w:p>
        </w:tc>
        <w:tc>
          <w:tcPr>
            <w:tcW w:w="915"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63D3C9B5" w14:textId="77777777" w:rsidR="00EA0E52" w:rsidRPr="00390781" w:rsidRDefault="00EA0E52" w:rsidP="00EA0E52">
            <w:pPr>
              <w:spacing w:after="0" w:line="240" w:lineRule="auto"/>
              <w:jc w:val="right"/>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25/10/2011</w:t>
            </w:r>
          </w:p>
        </w:tc>
        <w:tc>
          <w:tcPr>
            <w:tcW w:w="970"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4EEE0363" w14:textId="77777777" w:rsidR="00EA0E52" w:rsidRPr="00390781" w:rsidRDefault="00EA0E52" w:rsidP="00EA0E52">
            <w:pPr>
              <w:spacing w:after="0" w:line="240" w:lineRule="auto"/>
              <w:jc w:val="right"/>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500</w:t>
            </w:r>
          </w:p>
        </w:tc>
        <w:tc>
          <w:tcPr>
            <w:tcW w:w="749"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1C04D69E" w14:textId="77777777" w:rsidR="00EA0E52" w:rsidRPr="00390781" w:rsidRDefault="00EA0E52" w:rsidP="00EA0E52">
            <w:pPr>
              <w:spacing w:after="0" w:line="240" w:lineRule="auto"/>
              <w:jc w:val="right"/>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78</w:t>
            </w:r>
          </w:p>
        </w:tc>
        <w:tc>
          <w:tcPr>
            <w:tcW w:w="1068" w:type="dxa"/>
            <w:tcBorders>
              <w:top w:val="single" w:sz="4" w:space="0" w:color="4472C4"/>
              <w:left w:val="single" w:sz="4" w:space="0" w:color="4472C4"/>
              <w:bottom w:val="single" w:sz="4" w:space="0" w:color="4472C4"/>
              <w:right w:val="single" w:sz="4" w:space="0" w:color="4472C4"/>
            </w:tcBorders>
            <w:shd w:val="clear" w:color="auto" w:fill="FFFFFF" w:themeFill="background1"/>
            <w:noWrap/>
            <w:hideMark/>
          </w:tcPr>
          <w:p w14:paraId="00AA2339" w14:textId="77777777" w:rsidR="00EA0E52" w:rsidRPr="00390781" w:rsidRDefault="00EA0E52" w:rsidP="00EA0E52">
            <w:pPr>
              <w:spacing w:after="0" w:line="240" w:lineRule="auto"/>
              <w:jc w:val="right"/>
              <w:rPr>
                <w:rFonts w:ascii="Calibri" w:eastAsia="Times New Roman" w:hAnsi="Calibri" w:cs="Calibri"/>
                <w:color w:val="000000"/>
                <w:sz w:val="18"/>
                <w:szCs w:val="18"/>
                <w:lang w:eastAsia="it-IT"/>
              </w:rPr>
            </w:pPr>
            <w:r w:rsidRPr="00390781">
              <w:rPr>
                <w:rFonts w:ascii="Calibri" w:eastAsia="Times New Roman" w:hAnsi="Calibri" w:cs="Calibri"/>
                <w:color w:val="000000"/>
                <w:sz w:val="18"/>
                <w:szCs w:val="18"/>
                <w:lang w:eastAsia="it-IT"/>
              </w:rPr>
              <w:t>15,60%</w:t>
            </w:r>
          </w:p>
        </w:tc>
      </w:tr>
    </w:tbl>
    <w:p w14:paraId="59462868" w14:textId="77777777" w:rsidR="00EA0E52" w:rsidRDefault="00EA0E52" w:rsidP="00360681">
      <w:pPr>
        <w:pStyle w:val="Paragrafoelenco"/>
        <w:spacing w:line="480" w:lineRule="auto"/>
        <w:ind w:left="0"/>
        <w:jc w:val="both"/>
        <w:rPr>
          <w:rFonts w:ascii="Times New Roman" w:hAnsi="Times New Roman"/>
        </w:rPr>
      </w:pPr>
    </w:p>
    <w:p w14:paraId="73890D3C" w14:textId="466BFF15" w:rsidR="001A08BD" w:rsidRPr="001953E4" w:rsidRDefault="001A08BD" w:rsidP="001953E4">
      <w:pPr>
        <w:pStyle w:val="Paragrafoelenco"/>
        <w:spacing w:line="480" w:lineRule="auto"/>
        <w:ind w:left="0"/>
        <w:jc w:val="both"/>
        <w:rPr>
          <w:rFonts w:ascii="Times New Roman" w:hAnsi="Times New Roman"/>
          <w:sz w:val="24"/>
          <w:szCs w:val="24"/>
        </w:rPr>
      </w:pPr>
      <w:r w:rsidRPr="001953E4">
        <w:rPr>
          <w:rFonts w:ascii="Times New Roman" w:hAnsi="Times New Roman"/>
          <w:sz w:val="24"/>
          <w:szCs w:val="24"/>
        </w:rPr>
        <w:lastRenderedPageBreak/>
        <w:t>A questo scopo,</w:t>
      </w:r>
      <w:r w:rsidR="00807148" w:rsidRPr="001953E4">
        <w:rPr>
          <w:rFonts w:ascii="Times New Roman" w:hAnsi="Times New Roman"/>
          <w:sz w:val="24"/>
          <w:szCs w:val="24"/>
        </w:rPr>
        <w:t xml:space="preserve"> abbiamo confrontato</w:t>
      </w:r>
      <w:r w:rsidRPr="001953E4">
        <w:rPr>
          <w:rFonts w:ascii="Times New Roman" w:hAnsi="Times New Roman"/>
          <w:sz w:val="24"/>
          <w:szCs w:val="24"/>
        </w:rPr>
        <w:t xml:space="preserve"> le risposte al questionario con quanto riportato nelle recenti linee guida della BSR in corso di pubblicazione.</w:t>
      </w:r>
    </w:p>
    <w:p w14:paraId="6BCDAB15" w14:textId="67507E61" w:rsidR="001A08BD" w:rsidRPr="001953E4" w:rsidRDefault="001A08BD" w:rsidP="001953E4">
      <w:pPr>
        <w:pStyle w:val="Paragrafoelenco"/>
        <w:spacing w:line="480" w:lineRule="auto"/>
        <w:ind w:left="0"/>
        <w:jc w:val="both"/>
        <w:rPr>
          <w:rFonts w:ascii="Times New Roman" w:hAnsi="Times New Roman"/>
          <w:sz w:val="24"/>
          <w:szCs w:val="24"/>
        </w:rPr>
      </w:pPr>
      <w:r w:rsidRPr="001953E4">
        <w:rPr>
          <w:rFonts w:ascii="Times New Roman" w:hAnsi="Times New Roman"/>
          <w:sz w:val="24"/>
          <w:szCs w:val="24"/>
        </w:rPr>
        <w:t>Esistono raccomandazioni e linee guida sulla diagnosi e terapia dell’AGC, in parte basate sull’evidenza</w:t>
      </w:r>
      <w:r w:rsidR="00807148" w:rsidRPr="001953E4">
        <w:rPr>
          <w:rFonts w:ascii="Times New Roman" w:hAnsi="Times New Roman"/>
          <w:sz w:val="24"/>
          <w:szCs w:val="24"/>
        </w:rPr>
        <w:t xml:space="preserve"> esistente</w:t>
      </w:r>
      <w:r w:rsidRPr="001953E4">
        <w:rPr>
          <w:rFonts w:ascii="Times New Roman" w:hAnsi="Times New Roman"/>
          <w:sz w:val="24"/>
          <w:szCs w:val="24"/>
        </w:rPr>
        <w:t xml:space="preserve"> che però non </w:t>
      </w:r>
      <w:r w:rsidR="00807148" w:rsidRPr="001953E4">
        <w:rPr>
          <w:rFonts w:ascii="Times New Roman" w:hAnsi="Times New Roman"/>
          <w:sz w:val="24"/>
          <w:szCs w:val="24"/>
        </w:rPr>
        <w:t>copre</w:t>
      </w:r>
      <w:r w:rsidRPr="001953E4">
        <w:rPr>
          <w:rFonts w:ascii="Times New Roman" w:hAnsi="Times New Roman"/>
          <w:sz w:val="24"/>
          <w:szCs w:val="24"/>
        </w:rPr>
        <w:t xml:space="preserve"> tutti gli aspetti</w:t>
      </w:r>
      <w:r w:rsidR="00807148" w:rsidRPr="001953E4">
        <w:rPr>
          <w:rFonts w:ascii="Times New Roman" w:hAnsi="Times New Roman"/>
          <w:sz w:val="24"/>
          <w:szCs w:val="24"/>
        </w:rPr>
        <w:t xml:space="preserve"> rilevanti</w:t>
      </w:r>
      <w:r w:rsidRPr="001953E4">
        <w:rPr>
          <w:rFonts w:ascii="Times New Roman" w:hAnsi="Times New Roman"/>
          <w:sz w:val="24"/>
          <w:szCs w:val="24"/>
        </w:rPr>
        <w:t>. Il problema è che molto spesso i medici sia specialisti sia non specialisti non le conoscono e non si sforzano di cercarle.</w:t>
      </w:r>
    </w:p>
    <w:p w14:paraId="4C29413C" w14:textId="77777777" w:rsidR="001A08BD" w:rsidRPr="001953E4" w:rsidRDefault="001A08BD" w:rsidP="001953E4">
      <w:pPr>
        <w:pStyle w:val="Paragrafoelenco"/>
        <w:spacing w:line="480" w:lineRule="auto"/>
        <w:ind w:left="0"/>
        <w:jc w:val="both"/>
        <w:rPr>
          <w:rFonts w:ascii="Times New Roman" w:hAnsi="Times New Roman"/>
          <w:sz w:val="24"/>
          <w:szCs w:val="24"/>
        </w:rPr>
      </w:pPr>
      <w:r w:rsidRPr="001953E4">
        <w:rPr>
          <w:rFonts w:ascii="Times New Roman" w:hAnsi="Times New Roman"/>
          <w:sz w:val="24"/>
          <w:szCs w:val="24"/>
        </w:rPr>
        <w:t>Come emerge dai dati raccolti, ad oggi, nella pratica clinica del medico di MMG non esiste una linea comune seguita per la gestione dei pazienti con sospetta o diagnosticata AGC.</w:t>
      </w:r>
    </w:p>
    <w:p w14:paraId="2FFAE1BD" w14:textId="13C520BB" w:rsidR="00666497" w:rsidRPr="001953E4" w:rsidRDefault="001A08BD" w:rsidP="001953E4">
      <w:pPr>
        <w:pStyle w:val="Paragrafoelenco"/>
        <w:spacing w:line="480" w:lineRule="auto"/>
        <w:ind w:left="0"/>
        <w:jc w:val="both"/>
        <w:rPr>
          <w:rFonts w:ascii="Times New Roman" w:hAnsi="Times New Roman"/>
          <w:sz w:val="24"/>
          <w:szCs w:val="24"/>
        </w:rPr>
      </w:pPr>
      <w:r w:rsidRPr="001953E4">
        <w:rPr>
          <w:rFonts w:ascii="Times New Roman" w:hAnsi="Times New Roman"/>
          <w:sz w:val="24"/>
          <w:szCs w:val="24"/>
        </w:rPr>
        <w:t xml:space="preserve">Non è raro infatti, in ambiente non specialistico, che i sintomi, purtroppo spesso aspecifici, non vengano associati immediatamente a questa patologia e che questo ritardo della diagnosi comprometta in maniera irreversibile la salute del paziente. </w:t>
      </w:r>
    </w:p>
    <w:p w14:paraId="0C8567A6" w14:textId="00321113" w:rsidR="00807148" w:rsidRPr="001953E4" w:rsidRDefault="002318AF" w:rsidP="001953E4">
      <w:pPr>
        <w:pStyle w:val="Paragrafoelenco"/>
        <w:spacing w:line="480" w:lineRule="auto"/>
        <w:ind w:left="0"/>
        <w:jc w:val="both"/>
        <w:rPr>
          <w:rFonts w:ascii="Times New Roman" w:hAnsi="Times New Roman"/>
          <w:sz w:val="24"/>
          <w:szCs w:val="24"/>
        </w:rPr>
      </w:pPr>
      <w:r w:rsidRPr="001953E4">
        <w:rPr>
          <w:rFonts w:ascii="Times New Roman" w:hAnsi="Times New Roman"/>
          <w:sz w:val="24"/>
          <w:szCs w:val="24"/>
        </w:rPr>
        <w:t>La prima osservazione che può essere fatta riguardo alle risposte ottenute è che il campione di MMG è composto da persone di esperienza, sia per la durata della loro attività in questo campo (con 59/75, 78,7% con più di 20 anni di attività), sia per il numero di assistiti (con 47/75, 62,7% con più di 1000 assistiti).</w:t>
      </w:r>
    </w:p>
    <w:p w14:paraId="1494FC54" w14:textId="4F0A087D" w:rsidR="002318AF" w:rsidRPr="001953E4" w:rsidRDefault="002318AF" w:rsidP="001953E4">
      <w:pPr>
        <w:spacing w:line="480" w:lineRule="auto"/>
        <w:rPr>
          <w:rFonts w:ascii="Times New Roman" w:hAnsi="Times New Roman"/>
          <w:sz w:val="24"/>
          <w:szCs w:val="24"/>
        </w:rPr>
      </w:pPr>
      <w:r w:rsidRPr="001953E4">
        <w:rPr>
          <w:rFonts w:ascii="Times New Roman" w:hAnsi="Times New Roman"/>
          <w:sz w:val="24"/>
          <w:szCs w:val="24"/>
        </w:rPr>
        <w:t>In secondo luogo, si può confrontare il numero di pazienti incidenti in un anno con l’incidenza nota della malattia. Calcolando una media arbitraria, sia dei pazienti visti per anno sia del numero di assistiti, si può ipotizzare una incidenza di 63 nuovi casi su 76.000 soggetti della popolazione generale. Questo valore è del tutto congruo con una incidenza massima riportata in letteratura di 52 nuovi casi per 100.000 abitanti. Il risultato è confortante perché suggerisce che le diagnosi effettuate siano sostanzialmente corrette (assenza di sotto o sopravalutazione della malattia).</w:t>
      </w:r>
    </w:p>
    <w:p w14:paraId="4EF486C4" w14:textId="636BFCE3" w:rsidR="009F4AEF" w:rsidRPr="001953E4" w:rsidRDefault="009F4AEF" w:rsidP="001953E4">
      <w:pPr>
        <w:spacing w:line="480" w:lineRule="auto"/>
        <w:rPr>
          <w:rFonts w:ascii="Times New Roman" w:hAnsi="Times New Roman"/>
          <w:sz w:val="24"/>
          <w:szCs w:val="24"/>
        </w:rPr>
      </w:pPr>
      <w:r w:rsidRPr="001953E4">
        <w:rPr>
          <w:rFonts w:ascii="Times New Roman" w:hAnsi="Times New Roman"/>
          <w:sz w:val="24"/>
          <w:szCs w:val="24"/>
        </w:rPr>
        <w:lastRenderedPageBreak/>
        <w:t>Analogamente, la prevalenza calcolata di 0.13% è in linea con i dati degli studi di epidemiologia correttamente condotti e la fasci di età affetta da questa malattia viene correttamente indicata come superiore ai 50 anni dalla maggioranza dei rispondenti. In effetti, questo cut-off è riportato nei criteri classificativi dell’ACR. Nel nostro studio, solo il 10% dei rispondenti pensava che l’AGC potesse insorgere prima dei 50 anni di età. Questo fatto non è impossibile ma senz’altro è inconsueto, anche perché in questa fascia di età la vasculite con caratteristiche simili alla AGC è l’arterite di Takayasu.</w:t>
      </w:r>
    </w:p>
    <w:p w14:paraId="594934CA" w14:textId="6A007543" w:rsidR="009F4AEF" w:rsidRPr="001953E4" w:rsidRDefault="009F4AEF" w:rsidP="001953E4">
      <w:pPr>
        <w:spacing w:line="480" w:lineRule="auto"/>
        <w:rPr>
          <w:rFonts w:ascii="Times New Roman" w:hAnsi="Times New Roman"/>
          <w:sz w:val="24"/>
          <w:szCs w:val="24"/>
        </w:rPr>
      </w:pPr>
      <w:r w:rsidRPr="001953E4">
        <w:rPr>
          <w:rFonts w:ascii="Times New Roman" w:hAnsi="Times New Roman"/>
          <w:sz w:val="24"/>
          <w:szCs w:val="24"/>
        </w:rPr>
        <w:t>Per quanto riguarda le manifestazioni cliniche all’esordio, il 78,3% dei medici intervistati faceva riferimento alla cefalea di nuova insorgenza come elemento diagnostico principale e solo l’11,6% citava i segni sistemici. Per quanto corretto, questo dato indica che viene valutata dai MMG solo o prevalentemente la forma craniale della malattia, che è senz’altro quella più tipica.</w:t>
      </w:r>
    </w:p>
    <w:p w14:paraId="78405B8A" w14:textId="5344CD3D" w:rsidR="009F4AEF" w:rsidRPr="001953E4" w:rsidRDefault="009F4AEF" w:rsidP="001953E4">
      <w:pPr>
        <w:spacing w:line="480" w:lineRule="auto"/>
        <w:rPr>
          <w:rFonts w:ascii="Times New Roman" w:hAnsi="Times New Roman"/>
          <w:sz w:val="24"/>
          <w:szCs w:val="24"/>
        </w:rPr>
      </w:pPr>
      <w:r w:rsidRPr="001953E4">
        <w:rPr>
          <w:rFonts w:ascii="Times New Roman" w:hAnsi="Times New Roman"/>
          <w:sz w:val="24"/>
          <w:szCs w:val="24"/>
        </w:rPr>
        <w:t>Alla domanda di quale tra gli esami di laboratorio venisse richiesto per confermare la diagnosi tra emocromo, VES, PCR, FR IgM, e ACPA, la maggioranza degli intervistati. rispondeva che tutti gli esami sopracitati venivano richiesti, e ciò è corretto anche ai fini di una diagnosi differenziale con l’AR senile.</w:t>
      </w:r>
    </w:p>
    <w:p w14:paraId="4B7FB8B3" w14:textId="40429D51" w:rsidR="009F4AEF" w:rsidRPr="001953E4" w:rsidRDefault="009F4AEF" w:rsidP="001953E4">
      <w:pPr>
        <w:spacing w:line="480" w:lineRule="auto"/>
        <w:rPr>
          <w:rFonts w:ascii="Times New Roman" w:hAnsi="Times New Roman"/>
          <w:sz w:val="24"/>
          <w:szCs w:val="24"/>
        </w:rPr>
      </w:pPr>
      <w:r w:rsidRPr="001953E4">
        <w:rPr>
          <w:rFonts w:ascii="Times New Roman" w:hAnsi="Times New Roman"/>
          <w:sz w:val="24"/>
          <w:szCs w:val="24"/>
        </w:rPr>
        <w:t>In pratica la diagnosi veniva posta sulla base dei dati clinici nel 44,3% dei casi e sulla base dei risultati della biopsia dell’arteria temporale nel 38,8%. Il 1</w:t>
      </w:r>
      <w:r w:rsidR="00A5307F" w:rsidRPr="001953E4">
        <w:rPr>
          <w:rFonts w:ascii="Times New Roman" w:hAnsi="Times New Roman"/>
          <w:sz w:val="24"/>
          <w:szCs w:val="24"/>
        </w:rPr>
        <w:t>5</w:t>
      </w:r>
      <w:r w:rsidRPr="001953E4">
        <w:rPr>
          <w:rFonts w:ascii="Times New Roman" w:hAnsi="Times New Roman"/>
          <w:sz w:val="24"/>
          <w:szCs w:val="24"/>
        </w:rPr>
        <w:t>,</w:t>
      </w:r>
      <w:r w:rsidR="00A5307F" w:rsidRPr="001953E4">
        <w:rPr>
          <w:rFonts w:ascii="Times New Roman" w:hAnsi="Times New Roman"/>
          <w:sz w:val="24"/>
          <w:szCs w:val="24"/>
        </w:rPr>
        <w:t>5</w:t>
      </w:r>
      <w:r w:rsidRPr="001953E4">
        <w:rPr>
          <w:rFonts w:ascii="Times New Roman" w:hAnsi="Times New Roman"/>
          <w:sz w:val="24"/>
          <w:szCs w:val="24"/>
        </w:rPr>
        <w:t>% dei MMG faceva affidamento anche sull’imaging. Questi sono indubbiamente i tre pilastri sui quali si basa la diagnosi, con molta discussione in epoca recente sulla possibile interscambiabilità tra biopsia e ecografia dell’arteria temporale.</w:t>
      </w:r>
    </w:p>
    <w:p w14:paraId="4915AFD6" w14:textId="233E13B9" w:rsidR="00C64B1A" w:rsidRPr="001953E4" w:rsidRDefault="00C64B1A" w:rsidP="001953E4">
      <w:pPr>
        <w:spacing w:line="480" w:lineRule="auto"/>
        <w:rPr>
          <w:rFonts w:ascii="Times New Roman" w:hAnsi="Times New Roman"/>
          <w:sz w:val="24"/>
          <w:szCs w:val="24"/>
        </w:rPr>
      </w:pPr>
      <w:r w:rsidRPr="001953E4">
        <w:rPr>
          <w:rFonts w:ascii="Times New Roman" w:hAnsi="Times New Roman"/>
          <w:sz w:val="24"/>
          <w:szCs w:val="24"/>
        </w:rPr>
        <w:lastRenderedPageBreak/>
        <w:t>Un po’ meno chiarezza sembra esserci sul tipo di imaging richiesto: se il 26,2% citava correttamente la ecografia come tecnica da utilizzare, il 24,2% faceva riferimento a RM o TC. Queste metodiche possono essere utilizzate nella valutazione dell’infiammazione e del danno strutturale della parte arteriosa dei grossi vasi ma non nella diagnosi della forma cranica. O meglio, esiste la possibilità di indagare la flogosi dell’arteria temporale con la RM, ma solo con apparecchi ad alto campo (3T) e con tecniche che non sono utilizzate nella nostra regione. È emerso inoltre che i MMG con più di 20 anni di esperienza richiedevano meno frequentemente l’imaging come aiuto diagnostico rispetto ai loro colleghi con meno esperienza. Ciò si può ragionevolmente spiegare con il fatto che una maggiore familiarità con la malattia permetteva di diagnosticarla anche solo sulla base delle manifestazioni cliniche. Per inciso, questa è l’unica associazione presente tra caratteristiche descrittive dei MMG (anni di attività e numero di assistiti) e risposte alle restanti domande del questionario.</w:t>
      </w:r>
    </w:p>
    <w:p w14:paraId="3C6A52DE" w14:textId="5801D43D" w:rsidR="00C86541" w:rsidRPr="001953E4" w:rsidRDefault="00C86541" w:rsidP="001953E4">
      <w:pPr>
        <w:spacing w:line="480" w:lineRule="auto"/>
        <w:rPr>
          <w:rFonts w:ascii="Times New Roman" w:hAnsi="Times New Roman" w:cs="Times New Roman"/>
          <w:sz w:val="24"/>
          <w:szCs w:val="24"/>
        </w:rPr>
      </w:pPr>
      <w:r w:rsidRPr="001953E4">
        <w:rPr>
          <w:rFonts w:ascii="Times New Roman" w:hAnsi="Times New Roman" w:cs="Times New Roman"/>
          <w:sz w:val="24"/>
          <w:szCs w:val="24"/>
        </w:rPr>
        <w:t>Il 68,5% dei MMG invia i suoi pazienti con AGC al reumatologo come specialista di riferimento. A tal proposito, le nuove linee guida della BSR dicono che “il paziente con sospetta AGC deve essere valutato da un medico specialista con appropriate competenze, di norma un reumatologo. Qualora siano presenti segni di coinvolgimento oculare, deve essere valutato, il prima possibile e nello stesso giorno della visita reumatologica, da un oculista”. È da notare che il 6,8% dei rispondenti affermava di provvedere in prima persona alla gestione del paziente con AGC e quindi di non ritenere necessario l’invio a consulenza specialistica.</w:t>
      </w:r>
    </w:p>
    <w:p w14:paraId="4DFF363D" w14:textId="77777777" w:rsidR="00C86541" w:rsidRPr="001953E4" w:rsidRDefault="00C86541" w:rsidP="001953E4">
      <w:pPr>
        <w:spacing w:line="480" w:lineRule="auto"/>
        <w:rPr>
          <w:rFonts w:ascii="Times New Roman" w:hAnsi="Times New Roman" w:cs="Times New Roman"/>
          <w:sz w:val="24"/>
          <w:szCs w:val="24"/>
        </w:rPr>
      </w:pPr>
      <w:r w:rsidRPr="001953E4">
        <w:rPr>
          <w:rFonts w:ascii="Times New Roman" w:hAnsi="Times New Roman" w:cs="Times New Roman"/>
          <w:sz w:val="24"/>
          <w:szCs w:val="24"/>
        </w:rPr>
        <w:t xml:space="preserve">L’ultima e fondamentale parte del questionario si riferiva poi al tipo di trattamento indicato per l’AGC. La totalità dei MMG indicava un dosaggio di prednisone </w:t>
      </w:r>
      <w:r w:rsidRPr="001953E4">
        <w:rPr>
          <w:rFonts w:ascii="Times New Roman" w:hAnsi="Times New Roman" w:cs="Times New Roman"/>
          <w:sz w:val="24"/>
          <w:szCs w:val="24"/>
        </w:rPr>
        <w:lastRenderedPageBreak/>
        <w:t>superiore a 25 mg, nel 37,7% superiore a 50 mg/die. questi dosaggi sono in accordo con quanto suggerito dalle linee guida BSR che recitano “l’esperienza clinica suggerisce che la maggior parte dei pazienti risponde nell’arco di 1-7 giorni ad un dosaggio di 40-60 mg/die di prednisolone”.</w:t>
      </w:r>
    </w:p>
    <w:p w14:paraId="1BC5C332" w14:textId="0B8A6EE0" w:rsidR="002318AF" w:rsidRPr="001953E4" w:rsidRDefault="00C86541" w:rsidP="001953E4">
      <w:pPr>
        <w:spacing w:line="480" w:lineRule="auto"/>
        <w:rPr>
          <w:rFonts w:ascii="Times New Roman" w:hAnsi="Times New Roman" w:cs="Times New Roman"/>
          <w:sz w:val="24"/>
          <w:szCs w:val="24"/>
        </w:rPr>
      </w:pPr>
      <w:r w:rsidRPr="001953E4">
        <w:rPr>
          <w:rFonts w:ascii="Times New Roman" w:hAnsi="Times New Roman" w:cs="Times New Roman"/>
          <w:sz w:val="24"/>
          <w:szCs w:val="24"/>
        </w:rPr>
        <w:t>L’unica vera criticità di questa indagine risiede nella mancata prontezza di inizio del trattamento steroideo nei pazienti con AGC. Infatti, la BSR indica che “i pazienti in cui vi è un forte sospetto di AGC dovrebbero essere trattati immediatamente con alte dosi di glucorticoidi”. Viceversa, dei nostri rispondenti, solo il 27,8% rispondeva di iniziare la terapia al primo sospetto clinico. I restanti MMG, subordinava l’inizio della terapia all’ottenimento degli esami di laboratorio o di imaging o alla esecuzione della visita specialistica. Dal momento che l’AGC è una delle poche vere urgenze in reumatologia, il ritardo del trattamento anche solo di pochi giorni può permettere che si instauri una perdita del visus permanente. Tenendo conto poi dei tempi necessari ad ottenere un appuntamento per una visita specialistica, questo ritardo diviene insostenibile. È quindi ragionevole pensare ad una campagna di sensibilizzazione dei MMG sulle caratteristiche dell’AGC, ma soprattutto su come sia cruciale iniziare subito un trattamento steroideo, che potrà essere eventualmente interrotto se la diagnosi non sarà confermata. Da parte dei reumatologi, è invece necessario offrire una tempestiva consulenza associata all’esecuzione degli esami necessari, come indicato dall’esempio delle “fast track clinics”, citate nell’introduzione.</w:t>
      </w:r>
    </w:p>
    <w:p w14:paraId="7A9620A3" w14:textId="77777777" w:rsidR="001953E4" w:rsidRDefault="001953E4">
      <w:pPr>
        <w:rPr>
          <w:rFonts w:ascii="Times New Roman" w:eastAsia="Calibri" w:hAnsi="Times New Roman" w:cs="Times New Roman"/>
          <w:b/>
          <w:sz w:val="28"/>
          <w:szCs w:val="28"/>
        </w:rPr>
      </w:pPr>
      <w:bookmarkStart w:id="30" w:name="_Toc12908081"/>
      <w:r>
        <w:rPr>
          <w:rFonts w:ascii="Times New Roman" w:hAnsi="Times New Roman"/>
          <w:b/>
          <w:sz w:val="28"/>
          <w:szCs w:val="28"/>
        </w:rPr>
        <w:br w:type="page"/>
      </w:r>
    </w:p>
    <w:p w14:paraId="46B2E335" w14:textId="05A73482" w:rsidR="00291800" w:rsidRPr="00E641FD" w:rsidRDefault="001A08BD" w:rsidP="00E641FD">
      <w:pPr>
        <w:pStyle w:val="Paragrafoelenco"/>
        <w:numPr>
          <w:ilvl w:val="0"/>
          <w:numId w:val="5"/>
        </w:numPr>
        <w:spacing w:after="160" w:line="360" w:lineRule="auto"/>
        <w:outlineLvl w:val="0"/>
        <w:rPr>
          <w:rFonts w:ascii="Times New Roman" w:hAnsi="Times New Roman"/>
          <w:b/>
          <w:sz w:val="28"/>
          <w:szCs w:val="28"/>
        </w:rPr>
      </w:pPr>
      <w:r w:rsidRPr="00DD1B9D">
        <w:rPr>
          <w:rFonts w:ascii="Times New Roman" w:hAnsi="Times New Roman"/>
          <w:b/>
          <w:sz w:val="28"/>
          <w:szCs w:val="28"/>
        </w:rPr>
        <w:lastRenderedPageBreak/>
        <w:t>BIBLIOGRAFIA</w:t>
      </w:r>
      <w:bookmarkEnd w:id="30"/>
    </w:p>
    <w:p w14:paraId="40D5E3FA" w14:textId="1DCD12E5" w:rsidR="00B53AB8" w:rsidRPr="00B53AB8" w:rsidRDefault="005E4031"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00B53AB8" w:rsidRPr="00B53AB8">
        <w:rPr>
          <w:rFonts w:ascii="Times New Roman" w:hAnsi="Times New Roman" w:cs="Times New Roman"/>
          <w:noProof/>
          <w:sz w:val="24"/>
          <w:szCs w:val="24"/>
        </w:rPr>
        <w:t xml:space="preserve">1. </w:t>
      </w:r>
      <w:r w:rsidR="00B53AB8" w:rsidRPr="00B53AB8">
        <w:rPr>
          <w:rFonts w:ascii="Times New Roman" w:hAnsi="Times New Roman" w:cs="Times New Roman"/>
          <w:noProof/>
          <w:sz w:val="24"/>
          <w:szCs w:val="24"/>
        </w:rPr>
        <w:tab/>
        <w:t xml:space="preserve">Adami S, Afeltra A, Alessandri C, et al. </w:t>
      </w:r>
      <w:r w:rsidR="00B53AB8" w:rsidRPr="00B53AB8">
        <w:rPr>
          <w:rFonts w:ascii="Times New Roman" w:hAnsi="Times New Roman" w:cs="Times New Roman"/>
          <w:i/>
          <w:iCs/>
          <w:noProof/>
          <w:sz w:val="24"/>
          <w:szCs w:val="24"/>
        </w:rPr>
        <w:t>Reumatologia per Studenti e Medici Di Medicina Generale</w:t>
      </w:r>
      <w:r w:rsidR="00B53AB8" w:rsidRPr="00B53AB8">
        <w:rPr>
          <w:rFonts w:ascii="Times New Roman" w:hAnsi="Times New Roman" w:cs="Times New Roman"/>
          <w:noProof/>
          <w:sz w:val="24"/>
          <w:szCs w:val="24"/>
        </w:rPr>
        <w:t>. II edizion. Napoli: IDELSON-GNOCCHI; 2014.</w:t>
      </w:r>
    </w:p>
    <w:p w14:paraId="6897B96C"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 </w:t>
      </w:r>
      <w:r w:rsidRPr="00B53AB8">
        <w:rPr>
          <w:rFonts w:ascii="Times New Roman" w:hAnsi="Times New Roman" w:cs="Times New Roman"/>
          <w:noProof/>
          <w:sz w:val="24"/>
          <w:szCs w:val="24"/>
        </w:rPr>
        <w:tab/>
        <w:t xml:space="preserve">Lensen KDF, Voskuyl AE, Comans EFI, van der Laken CJ, Smulders YM. Extracranial giant cell arteritis: A narrative review. </w:t>
      </w:r>
      <w:r w:rsidRPr="00B53AB8">
        <w:rPr>
          <w:rFonts w:ascii="Times New Roman" w:hAnsi="Times New Roman" w:cs="Times New Roman"/>
          <w:i/>
          <w:iCs/>
          <w:noProof/>
          <w:sz w:val="24"/>
          <w:szCs w:val="24"/>
        </w:rPr>
        <w:t>Neth J Med</w:t>
      </w:r>
      <w:r w:rsidRPr="00B53AB8">
        <w:rPr>
          <w:rFonts w:ascii="Times New Roman" w:hAnsi="Times New Roman" w:cs="Times New Roman"/>
          <w:noProof/>
          <w:sz w:val="24"/>
          <w:szCs w:val="24"/>
        </w:rPr>
        <w:t>. 2016;74(5):182-192.</w:t>
      </w:r>
    </w:p>
    <w:p w14:paraId="1FB148A4"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 </w:t>
      </w:r>
      <w:r w:rsidRPr="00B53AB8">
        <w:rPr>
          <w:rFonts w:ascii="Times New Roman" w:hAnsi="Times New Roman" w:cs="Times New Roman"/>
          <w:noProof/>
          <w:sz w:val="24"/>
          <w:szCs w:val="24"/>
        </w:rPr>
        <w:tab/>
        <w:t>Sundel R, Miller AS. American College of Rheumatology ( ACR ) Vasculitis Guideline Project Plan – March 2018 American College of Rheumatology ( ACR ) Vasculitis Guideline Project Plan – March 2018. 2018;(March):1-28.</w:t>
      </w:r>
    </w:p>
    <w:p w14:paraId="6F3C7E56"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4. </w:t>
      </w:r>
      <w:r w:rsidRPr="00B53AB8">
        <w:rPr>
          <w:rFonts w:ascii="Times New Roman" w:hAnsi="Times New Roman" w:cs="Times New Roman"/>
          <w:noProof/>
          <w:sz w:val="24"/>
          <w:szCs w:val="24"/>
        </w:rPr>
        <w:tab/>
        <w:t xml:space="preserve">Baig IF, Pascoe A, Kini A, Lee AG. &lt;p&gt;Giant cell arteritis: early diagnosis is key&lt;/p&gt;. </w:t>
      </w:r>
      <w:r w:rsidRPr="00B53AB8">
        <w:rPr>
          <w:rFonts w:ascii="Times New Roman" w:hAnsi="Times New Roman" w:cs="Times New Roman"/>
          <w:i/>
          <w:iCs/>
          <w:noProof/>
          <w:sz w:val="24"/>
          <w:szCs w:val="24"/>
        </w:rPr>
        <w:t>Eye Brain</w:t>
      </w:r>
      <w:r w:rsidRPr="00B53AB8">
        <w:rPr>
          <w:rFonts w:ascii="Times New Roman" w:hAnsi="Times New Roman" w:cs="Times New Roman"/>
          <w:noProof/>
          <w:sz w:val="24"/>
          <w:szCs w:val="24"/>
        </w:rPr>
        <w:t>. 2019;Volume 11:1-12. doi:10.2147/eb.s170388</w:t>
      </w:r>
    </w:p>
    <w:p w14:paraId="7EC7A35F"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5. </w:t>
      </w:r>
      <w:r w:rsidRPr="00B53AB8">
        <w:rPr>
          <w:rFonts w:ascii="Times New Roman" w:hAnsi="Times New Roman" w:cs="Times New Roman"/>
          <w:noProof/>
          <w:sz w:val="24"/>
          <w:szCs w:val="24"/>
        </w:rPr>
        <w:tab/>
        <w:t xml:space="preserve">Hocevar A, Rotar Z, Jese R, et al. Do Early Diagnosis and Glucocorticoid Treatment Decrease the Risk of Permanent Visual Loss and Early Relapses in Giant Cell Arteritis. </w:t>
      </w:r>
      <w:r w:rsidRPr="00B53AB8">
        <w:rPr>
          <w:rFonts w:ascii="Times New Roman" w:hAnsi="Times New Roman" w:cs="Times New Roman"/>
          <w:i/>
          <w:iCs/>
          <w:noProof/>
          <w:sz w:val="24"/>
          <w:szCs w:val="24"/>
        </w:rPr>
        <w:t>Med (United States)</w:t>
      </w:r>
      <w:r w:rsidRPr="00B53AB8">
        <w:rPr>
          <w:rFonts w:ascii="Times New Roman" w:hAnsi="Times New Roman" w:cs="Times New Roman"/>
          <w:noProof/>
          <w:sz w:val="24"/>
          <w:szCs w:val="24"/>
        </w:rPr>
        <w:t>. 2016;95(14):1-5. doi:10.1097/MD.0000000000003210</w:t>
      </w:r>
    </w:p>
    <w:p w14:paraId="4BD376B6"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6. </w:t>
      </w:r>
      <w:r w:rsidRPr="00B53AB8">
        <w:rPr>
          <w:rFonts w:ascii="Times New Roman" w:hAnsi="Times New Roman" w:cs="Times New Roman"/>
          <w:noProof/>
          <w:sz w:val="24"/>
          <w:szCs w:val="24"/>
        </w:rPr>
        <w:tab/>
        <w:t xml:space="preserve">Patil P, Williams M, Maw WW, et al. Fast track pathway reduces sight loss in giant cell arteritis: results of a longitudinal observational cohort study. </w:t>
      </w:r>
      <w:r w:rsidRPr="00B53AB8">
        <w:rPr>
          <w:rFonts w:ascii="Times New Roman" w:hAnsi="Times New Roman" w:cs="Times New Roman"/>
          <w:i/>
          <w:iCs/>
          <w:noProof/>
          <w:sz w:val="24"/>
          <w:szCs w:val="24"/>
        </w:rPr>
        <w:t>Clin Exp Rheumatol</w:t>
      </w:r>
      <w:r w:rsidRPr="00B53AB8">
        <w:rPr>
          <w:rFonts w:ascii="Times New Roman" w:hAnsi="Times New Roman" w:cs="Times New Roman"/>
          <w:noProof/>
          <w:sz w:val="24"/>
          <w:szCs w:val="24"/>
        </w:rPr>
        <w:t>. 2015;33(2).</w:t>
      </w:r>
    </w:p>
    <w:p w14:paraId="0A7E000F"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7. </w:t>
      </w:r>
      <w:r w:rsidRPr="00B53AB8">
        <w:rPr>
          <w:rFonts w:ascii="Times New Roman" w:hAnsi="Times New Roman" w:cs="Times New Roman"/>
          <w:noProof/>
          <w:sz w:val="24"/>
          <w:szCs w:val="24"/>
        </w:rPr>
        <w:tab/>
        <w:t xml:space="preserve">Helliwell T, Muller S, Hider SL, et al. Challenges of diagnosing and managing polymyalgia rheumatica: a multi-methods study in UK general practice. </w:t>
      </w:r>
      <w:r w:rsidRPr="00B53AB8">
        <w:rPr>
          <w:rFonts w:ascii="Times New Roman" w:hAnsi="Times New Roman" w:cs="Times New Roman"/>
          <w:i/>
          <w:iCs/>
          <w:noProof/>
          <w:sz w:val="24"/>
          <w:szCs w:val="24"/>
        </w:rPr>
        <w:t>Br J Gen Pract</w:t>
      </w:r>
      <w:r w:rsidRPr="00B53AB8">
        <w:rPr>
          <w:rFonts w:ascii="Times New Roman" w:hAnsi="Times New Roman" w:cs="Times New Roman"/>
          <w:noProof/>
          <w:sz w:val="24"/>
          <w:szCs w:val="24"/>
        </w:rPr>
        <w:t>. 2018;68(676):e783-e793. doi:10.3399/bjgp18x699557</w:t>
      </w:r>
    </w:p>
    <w:p w14:paraId="1ED4EE0F"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8. </w:t>
      </w:r>
      <w:r w:rsidRPr="00B53AB8">
        <w:rPr>
          <w:rFonts w:ascii="Times New Roman" w:hAnsi="Times New Roman" w:cs="Times New Roman"/>
          <w:noProof/>
          <w:sz w:val="24"/>
          <w:szCs w:val="24"/>
        </w:rPr>
        <w:tab/>
        <w:t xml:space="preserve">Helliwell T, Muller S, Hider SL, Prior JA, Richardson JC, Mallen CD. Challenges of diagnosis and management of giant cell arteritis in general practice: A multimethods study. </w:t>
      </w:r>
      <w:r w:rsidRPr="00B53AB8">
        <w:rPr>
          <w:rFonts w:ascii="Times New Roman" w:hAnsi="Times New Roman" w:cs="Times New Roman"/>
          <w:i/>
          <w:iCs/>
          <w:noProof/>
          <w:sz w:val="24"/>
          <w:szCs w:val="24"/>
        </w:rPr>
        <w:t>BMJ Open</w:t>
      </w:r>
      <w:r w:rsidRPr="00B53AB8">
        <w:rPr>
          <w:rFonts w:ascii="Times New Roman" w:hAnsi="Times New Roman" w:cs="Times New Roman"/>
          <w:noProof/>
          <w:sz w:val="24"/>
          <w:szCs w:val="24"/>
        </w:rPr>
        <w:t>. 2018;8(2):1-8. doi:10.1136/bmjopen-2017-019320</w:t>
      </w:r>
    </w:p>
    <w:p w14:paraId="69BD682C"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9. </w:t>
      </w:r>
      <w:r w:rsidRPr="00B53AB8">
        <w:rPr>
          <w:rFonts w:ascii="Times New Roman" w:hAnsi="Times New Roman" w:cs="Times New Roman"/>
          <w:noProof/>
          <w:sz w:val="24"/>
          <w:szCs w:val="24"/>
        </w:rPr>
        <w:tab/>
        <w:t xml:space="preserve">Nesher G. The diagnosis and classification of giant cell arteritis. </w:t>
      </w:r>
      <w:r w:rsidRPr="00B53AB8">
        <w:rPr>
          <w:rFonts w:ascii="Times New Roman" w:hAnsi="Times New Roman" w:cs="Times New Roman"/>
          <w:i/>
          <w:iCs/>
          <w:noProof/>
          <w:sz w:val="24"/>
          <w:szCs w:val="24"/>
        </w:rPr>
        <w:t>J Autoimmun</w:t>
      </w:r>
      <w:r w:rsidRPr="00B53AB8">
        <w:rPr>
          <w:rFonts w:ascii="Times New Roman" w:hAnsi="Times New Roman" w:cs="Times New Roman"/>
          <w:noProof/>
          <w:sz w:val="24"/>
          <w:szCs w:val="24"/>
        </w:rPr>
        <w:t>. 2014;48-49:73-75. doi:10.1016/j.jaut.2014.01.017</w:t>
      </w:r>
    </w:p>
    <w:p w14:paraId="61336F67" w14:textId="77777777" w:rsidR="00AD2722" w:rsidRDefault="00AD2722">
      <w:pPr>
        <w:rPr>
          <w:rFonts w:ascii="Times New Roman" w:hAnsi="Times New Roman" w:cs="Times New Roman"/>
          <w:noProof/>
          <w:sz w:val="24"/>
          <w:szCs w:val="24"/>
        </w:rPr>
      </w:pPr>
      <w:r>
        <w:rPr>
          <w:rFonts w:ascii="Times New Roman" w:hAnsi="Times New Roman" w:cs="Times New Roman"/>
          <w:noProof/>
          <w:sz w:val="24"/>
          <w:szCs w:val="24"/>
        </w:rPr>
        <w:br w:type="page"/>
      </w:r>
    </w:p>
    <w:p w14:paraId="22525F11" w14:textId="16C6BC53"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lastRenderedPageBreak/>
        <w:t xml:space="preserve">10. </w:t>
      </w:r>
      <w:r w:rsidRPr="00B53AB8">
        <w:rPr>
          <w:rFonts w:ascii="Times New Roman" w:hAnsi="Times New Roman" w:cs="Times New Roman"/>
          <w:noProof/>
          <w:sz w:val="24"/>
          <w:szCs w:val="24"/>
        </w:rPr>
        <w:tab/>
        <w:t xml:space="preserve">T. A, F.C. K, Y. T. Temporal arteritis in a young patient. </w:t>
      </w:r>
      <w:r w:rsidRPr="00B53AB8">
        <w:rPr>
          <w:rFonts w:ascii="Times New Roman" w:hAnsi="Times New Roman" w:cs="Times New Roman"/>
          <w:i/>
          <w:iCs/>
          <w:noProof/>
          <w:sz w:val="24"/>
          <w:szCs w:val="24"/>
        </w:rPr>
        <w:t>Clin Exp Rheumatol</w:t>
      </w:r>
      <w:r w:rsidRPr="00B53AB8">
        <w:rPr>
          <w:rFonts w:ascii="Times New Roman" w:hAnsi="Times New Roman" w:cs="Times New Roman"/>
          <w:noProof/>
          <w:sz w:val="24"/>
          <w:szCs w:val="24"/>
        </w:rPr>
        <w:t>. 2014;32(SUPPL.82):S59-S61. http://www.embase.com/search/results?subaction=viewrecord&amp;from=export&amp;id=L373245606%0Ahttp://sfx.library.uu.nl/utrecht?sid=EMBASE&amp;issn=1593098X&amp;id=doi:&amp;atitle=Temporal+arteritis+in+a+young+patient&amp;stitle=Clin.+Exp.+Rheumatol.&amp;title=Clinical+and+Experiment.</w:t>
      </w:r>
    </w:p>
    <w:p w14:paraId="4D15C50C"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11. </w:t>
      </w:r>
      <w:r w:rsidRPr="00B53AB8">
        <w:rPr>
          <w:rFonts w:ascii="Times New Roman" w:hAnsi="Times New Roman" w:cs="Times New Roman"/>
          <w:noProof/>
          <w:sz w:val="24"/>
          <w:szCs w:val="24"/>
        </w:rPr>
        <w:tab/>
        <w:t>Dejaco C, Duftner C, Buttgereit F, Matteson EL, Dasgupta B. Review The spectrum of giant cell arteritis and polymyalgia rheumatica : revisiting the concept of the disease. 2017;(July 2016):506-515. doi:10.1093/rheumatology/kew273</w:t>
      </w:r>
    </w:p>
    <w:p w14:paraId="57354E33"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12. </w:t>
      </w:r>
      <w:r w:rsidRPr="00B53AB8">
        <w:rPr>
          <w:rFonts w:ascii="Times New Roman" w:hAnsi="Times New Roman" w:cs="Times New Roman"/>
          <w:noProof/>
          <w:sz w:val="24"/>
          <w:szCs w:val="24"/>
        </w:rPr>
        <w:tab/>
        <w:t>Salvarani C, Cimino L, Macchioni P, et al. Risk Factors for Visual Loss in an Italian Population-Based Cohort of Patients With Giant Cell Arteritis. 2005;53(2):293-297. doi:10.1002/art.21075</w:t>
      </w:r>
    </w:p>
    <w:p w14:paraId="3305E97F"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13. </w:t>
      </w:r>
      <w:r w:rsidRPr="00B53AB8">
        <w:rPr>
          <w:rFonts w:ascii="Times New Roman" w:hAnsi="Times New Roman" w:cs="Times New Roman"/>
          <w:noProof/>
          <w:sz w:val="24"/>
          <w:szCs w:val="24"/>
        </w:rPr>
        <w:tab/>
        <w:t xml:space="preserve">González-Gay MA, García-Porrúa C, Llorca J, et al. Visual manifestations of giant cell arteritis: Trends and clinical spectrum in 161 patients. </w:t>
      </w:r>
      <w:r w:rsidRPr="00B53AB8">
        <w:rPr>
          <w:rFonts w:ascii="Times New Roman" w:hAnsi="Times New Roman" w:cs="Times New Roman"/>
          <w:i/>
          <w:iCs/>
          <w:noProof/>
          <w:sz w:val="24"/>
          <w:szCs w:val="24"/>
        </w:rPr>
        <w:t>Medicine (Baltimore)</w:t>
      </w:r>
      <w:r w:rsidRPr="00B53AB8">
        <w:rPr>
          <w:rFonts w:ascii="Times New Roman" w:hAnsi="Times New Roman" w:cs="Times New Roman"/>
          <w:noProof/>
          <w:sz w:val="24"/>
          <w:szCs w:val="24"/>
        </w:rPr>
        <w:t>. 2000;79(5):283-292. doi:10.1097/00005792-200009000-00001</w:t>
      </w:r>
    </w:p>
    <w:p w14:paraId="04DB875B"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14. </w:t>
      </w:r>
      <w:r w:rsidRPr="00B53AB8">
        <w:rPr>
          <w:rFonts w:ascii="Times New Roman" w:hAnsi="Times New Roman" w:cs="Times New Roman"/>
          <w:noProof/>
          <w:sz w:val="24"/>
          <w:szCs w:val="24"/>
        </w:rPr>
        <w:tab/>
        <w:t xml:space="preserve">Nesher G, Berkun Y, Mates M, et al. Risk Factors for Cranial Ischemic Complications in Giant Cell Arteritis. </w:t>
      </w:r>
      <w:r w:rsidRPr="00B53AB8">
        <w:rPr>
          <w:rFonts w:ascii="Times New Roman" w:hAnsi="Times New Roman" w:cs="Times New Roman"/>
          <w:i/>
          <w:iCs/>
          <w:noProof/>
          <w:sz w:val="24"/>
          <w:szCs w:val="24"/>
        </w:rPr>
        <w:t>Medicine (Baltimore)</w:t>
      </w:r>
      <w:r w:rsidRPr="00B53AB8">
        <w:rPr>
          <w:rFonts w:ascii="Times New Roman" w:hAnsi="Times New Roman" w:cs="Times New Roman"/>
          <w:noProof/>
          <w:sz w:val="24"/>
          <w:szCs w:val="24"/>
        </w:rPr>
        <w:t>. 2004;83(2):114-122. doi:10.1097/01.md.0000119761.27564.c9</w:t>
      </w:r>
    </w:p>
    <w:p w14:paraId="74E455D8"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15. </w:t>
      </w:r>
      <w:r w:rsidRPr="00B53AB8">
        <w:rPr>
          <w:rFonts w:ascii="Times New Roman" w:hAnsi="Times New Roman" w:cs="Times New Roman"/>
          <w:noProof/>
          <w:sz w:val="24"/>
          <w:szCs w:val="24"/>
        </w:rPr>
        <w:tab/>
        <w:t xml:space="preserve">Cid MC, Font C, Oristrell J, et al. Association between strong inflammatory response and low risk of developing visual loss and other cranial ischemic complications in giant cell (temporal) arteritis. </w:t>
      </w:r>
      <w:r w:rsidRPr="00B53AB8">
        <w:rPr>
          <w:rFonts w:ascii="Times New Roman" w:hAnsi="Times New Roman" w:cs="Times New Roman"/>
          <w:i/>
          <w:iCs/>
          <w:noProof/>
          <w:sz w:val="24"/>
          <w:szCs w:val="24"/>
        </w:rPr>
        <w:t>Arthritis Rheum</w:t>
      </w:r>
      <w:r w:rsidRPr="00B53AB8">
        <w:rPr>
          <w:rFonts w:ascii="Times New Roman" w:hAnsi="Times New Roman" w:cs="Times New Roman"/>
          <w:noProof/>
          <w:sz w:val="24"/>
          <w:szCs w:val="24"/>
        </w:rPr>
        <w:t>. 1998;41(1):26-32. doi:10.1002/1529-0131(199801)41:1&lt;26::AID-ART4&gt;3.0.CO;2-0</w:t>
      </w:r>
    </w:p>
    <w:p w14:paraId="76BE2A9D"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16. </w:t>
      </w:r>
      <w:r w:rsidRPr="00B53AB8">
        <w:rPr>
          <w:rFonts w:ascii="Times New Roman" w:hAnsi="Times New Roman" w:cs="Times New Roman"/>
          <w:noProof/>
          <w:sz w:val="24"/>
          <w:szCs w:val="24"/>
        </w:rPr>
        <w:tab/>
        <w:t xml:space="preserve">T.L. C, A. P. Recognition and management of polymyalgia rheumatica and giant cell arteritis. </w:t>
      </w:r>
      <w:r w:rsidRPr="00B53AB8">
        <w:rPr>
          <w:rFonts w:ascii="Times New Roman" w:hAnsi="Times New Roman" w:cs="Times New Roman"/>
          <w:i/>
          <w:iCs/>
          <w:noProof/>
          <w:sz w:val="24"/>
          <w:szCs w:val="24"/>
        </w:rPr>
        <w:t>Am Fam Physician</w:t>
      </w:r>
      <w:r w:rsidRPr="00B53AB8">
        <w:rPr>
          <w:rFonts w:ascii="Times New Roman" w:hAnsi="Times New Roman" w:cs="Times New Roman"/>
          <w:noProof/>
          <w:sz w:val="24"/>
          <w:szCs w:val="24"/>
        </w:rPr>
        <w:t>. 2013;88(10):676-684. doi:10.1016/S0002-838X(13)60331-7</w:t>
      </w:r>
    </w:p>
    <w:p w14:paraId="7875BFA5"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17. </w:t>
      </w:r>
      <w:r w:rsidRPr="00B53AB8">
        <w:rPr>
          <w:rFonts w:ascii="Times New Roman" w:hAnsi="Times New Roman" w:cs="Times New Roman"/>
          <w:noProof/>
          <w:sz w:val="24"/>
          <w:szCs w:val="24"/>
        </w:rPr>
        <w:tab/>
        <w:t xml:space="preserve">Liozon E, Herrmann F, Ly K, et al. Risk factors for visual loss in giant cell (temporal) arteritis: A prospective study of 174 patients. </w:t>
      </w:r>
      <w:r w:rsidRPr="00B53AB8">
        <w:rPr>
          <w:rFonts w:ascii="Times New Roman" w:hAnsi="Times New Roman" w:cs="Times New Roman"/>
          <w:i/>
          <w:iCs/>
          <w:noProof/>
          <w:sz w:val="24"/>
          <w:szCs w:val="24"/>
        </w:rPr>
        <w:t>Am J Med</w:t>
      </w:r>
      <w:r w:rsidRPr="00B53AB8">
        <w:rPr>
          <w:rFonts w:ascii="Times New Roman" w:hAnsi="Times New Roman" w:cs="Times New Roman"/>
          <w:noProof/>
          <w:sz w:val="24"/>
          <w:szCs w:val="24"/>
        </w:rPr>
        <w:t>. 2001. doi:10.1016/S0002-9343(01)00770-7</w:t>
      </w:r>
    </w:p>
    <w:p w14:paraId="43ECD19D" w14:textId="77777777" w:rsidR="00AD2722" w:rsidRDefault="00AD2722">
      <w:pPr>
        <w:rPr>
          <w:rFonts w:ascii="Times New Roman" w:hAnsi="Times New Roman" w:cs="Times New Roman"/>
          <w:noProof/>
          <w:sz w:val="24"/>
          <w:szCs w:val="24"/>
        </w:rPr>
      </w:pPr>
      <w:r>
        <w:rPr>
          <w:rFonts w:ascii="Times New Roman" w:hAnsi="Times New Roman" w:cs="Times New Roman"/>
          <w:noProof/>
          <w:sz w:val="24"/>
          <w:szCs w:val="24"/>
        </w:rPr>
        <w:br w:type="page"/>
      </w:r>
    </w:p>
    <w:p w14:paraId="58460B76" w14:textId="0D45A58D"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lastRenderedPageBreak/>
        <w:t xml:space="preserve">18. </w:t>
      </w:r>
      <w:r w:rsidRPr="00B53AB8">
        <w:rPr>
          <w:rFonts w:ascii="Times New Roman" w:hAnsi="Times New Roman" w:cs="Times New Roman"/>
          <w:noProof/>
          <w:sz w:val="24"/>
          <w:szCs w:val="24"/>
        </w:rPr>
        <w:tab/>
        <w:t xml:space="preserve">González-Gay MA, Blanco R, Rodríguez-Valverde V, et al. Permanent visual loss and cerebrovascular accidents in giant cell arteritis: Predictors and response to treatment. </w:t>
      </w:r>
      <w:r w:rsidRPr="00B53AB8">
        <w:rPr>
          <w:rFonts w:ascii="Times New Roman" w:hAnsi="Times New Roman" w:cs="Times New Roman"/>
          <w:i/>
          <w:iCs/>
          <w:noProof/>
          <w:sz w:val="24"/>
          <w:szCs w:val="24"/>
        </w:rPr>
        <w:t>Arthritis Rheum</w:t>
      </w:r>
      <w:r w:rsidRPr="00B53AB8">
        <w:rPr>
          <w:rFonts w:ascii="Times New Roman" w:hAnsi="Times New Roman" w:cs="Times New Roman"/>
          <w:noProof/>
          <w:sz w:val="24"/>
          <w:szCs w:val="24"/>
        </w:rPr>
        <w:t>. 1998;41(8):1497-1504. doi:10.1002/1529-0131(199808)41:8&lt;1497::AID-ART22&gt;3.0.CO;2-Z</w:t>
      </w:r>
    </w:p>
    <w:p w14:paraId="123284B6"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19. </w:t>
      </w:r>
      <w:r w:rsidRPr="00B53AB8">
        <w:rPr>
          <w:rFonts w:ascii="Times New Roman" w:hAnsi="Times New Roman" w:cs="Times New Roman"/>
          <w:noProof/>
          <w:sz w:val="24"/>
          <w:szCs w:val="24"/>
        </w:rPr>
        <w:tab/>
        <w:t xml:space="preserve">Salvarani C, Cantini F, Boiardi L, Hunder GG. Polymyalgia Rheumatica and Giant-Cell Arteritis. </w:t>
      </w:r>
      <w:r w:rsidRPr="00B53AB8">
        <w:rPr>
          <w:rFonts w:ascii="Times New Roman" w:hAnsi="Times New Roman" w:cs="Times New Roman"/>
          <w:i/>
          <w:iCs/>
          <w:noProof/>
          <w:sz w:val="24"/>
          <w:szCs w:val="24"/>
        </w:rPr>
        <w:t>N Engl J Med</w:t>
      </w:r>
      <w:r w:rsidRPr="00B53AB8">
        <w:rPr>
          <w:rFonts w:ascii="Times New Roman" w:hAnsi="Times New Roman" w:cs="Times New Roman"/>
          <w:noProof/>
          <w:sz w:val="24"/>
          <w:szCs w:val="24"/>
        </w:rPr>
        <w:t>. 2002;347(4):261-271. doi:10.1056/NEJMra011913</w:t>
      </w:r>
    </w:p>
    <w:p w14:paraId="371A019A"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20. </w:t>
      </w:r>
      <w:r w:rsidRPr="00B53AB8">
        <w:rPr>
          <w:rFonts w:ascii="Times New Roman" w:hAnsi="Times New Roman" w:cs="Times New Roman"/>
          <w:noProof/>
          <w:sz w:val="24"/>
          <w:szCs w:val="24"/>
        </w:rPr>
        <w:tab/>
        <w:t xml:space="preserve">Masson W, Mallen C, Helliwell T, et al. Possible giant cell arteritis symptoms are common in newly diagnosed patients with Polymyalgia Rheumatica: results from an incident primary care PMR cohort. </w:t>
      </w:r>
      <w:r w:rsidRPr="00B53AB8">
        <w:rPr>
          <w:rFonts w:ascii="Times New Roman" w:hAnsi="Times New Roman" w:cs="Times New Roman"/>
          <w:i/>
          <w:iCs/>
          <w:noProof/>
          <w:sz w:val="24"/>
          <w:szCs w:val="24"/>
        </w:rPr>
        <w:t>BMC Rheumatol</w:t>
      </w:r>
      <w:r w:rsidRPr="00B53AB8">
        <w:rPr>
          <w:rFonts w:ascii="Times New Roman" w:hAnsi="Times New Roman" w:cs="Times New Roman"/>
          <w:noProof/>
          <w:sz w:val="24"/>
          <w:szCs w:val="24"/>
        </w:rPr>
        <w:t>. 2017;1(1):1-5. doi:10.1186/s41927-017-0007-2</w:t>
      </w:r>
    </w:p>
    <w:p w14:paraId="7BBC2F5B"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21. </w:t>
      </w:r>
      <w:r w:rsidRPr="00B53AB8">
        <w:rPr>
          <w:rFonts w:ascii="Times New Roman" w:hAnsi="Times New Roman" w:cs="Times New Roman"/>
          <w:noProof/>
          <w:sz w:val="24"/>
          <w:szCs w:val="24"/>
        </w:rPr>
        <w:tab/>
        <w:t xml:space="preserve">Macchioni P, Giorgi Rossi P, Salvarani C, et al. Survival predictors in biopsy-proven giant cell arteritis: a northern Italian population-based study. </w:t>
      </w:r>
      <w:r w:rsidRPr="00B53AB8">
        <w:rPr>
          <w:rFonts w:ascii="Times New Roman" w:hAnsi="Times New Roman" w:cs="Times New Roman"/>
          <w:i/>
          <w:iCs/>
          <w:noProof/>
          <w:sz w:val="24"/>
          <w:szCs w:val="24"/>
        </w:rPr>
        <w:t>Rheumatology</w:t>
      </w:r>
      <w:r w:rsidRPr="00B53AB8">
        <w:rPr>
          <w:rFonts w:ascii="Times New Roman" w:hAnsi="Times New Roman" w:cs="Times New Roman"/>
          <w:noProof/>
          <w:sz w:val="24"/>
          <w:szCs w:val="24"/>
        </w:rPr>
        <w:t>. 2018;(December 2018):609-616. doi:10.1093/rheumatology/key325</w:t>
      </w:r>
    </w:p>
    <w:p w14:paraId="7D71C205"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22. </w:t>
      </w:r>
      <w:r w:rsidRPr="00B53AB8">
        <w:rPr>
          <w:rFonts w:ascii="Times New Roman" w:hAnsi="Times New Roman" w:cs="Times New Roman"/>
          <w:noProof/>
          <w:sz w:val="24"/>
          <w:szCs w:val="24"/>
        </w:rPr>
        <w:tab/>
        <w:t xml:space="preserve">Koster MJ, Warrington KJ. Giant cell arteritis: pathogenic mechanisms and new potential therapeutic targets. </w:t>
      </w:r>
      <w:r w:rsidRPr="00B53AB8">
        <w:rPr>
          <w:rFonts w:ascii="Times New Roman" w:hAnsi="Times New Roman" w:cs="Times New Roman"/>
          <w:i/>
          <w:iCs/>
          <w:noProof/>
          <w:sz w:val="24"/>
          <w:szCs w:val="24"/>
        </w:rPr>
        <w:t>BMC Rheumatol</w:t>
      </w:r>
      <w:r w:rsidRPr="00B53AB8">
        <w:rPr>
          <w:rFonts w:ascii="Times New Roman" w:hAnsi="Times New Roman" w:cs="Times New Roman"/>
          <w:noProof/>
          <w:sz w:val="24"/>
          <w:szCs w:val="24"/>
        </w:rPr>
        <w:t>. 2017;1(1):1-12. doi:10.1186/s41927-017-0004-5</w:t>
      </w:r>
    </w:p>
    <w:p w14:paraId="102D45B6"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23. </w:t>
      </w:r>
      <w:r w:rsidRPr="00B53AB8">
        <w:rPr>
          <w:rFonts w:ascii="Times New Roman" w:hAnsi="Times New Roman" w:cs="Times New Roman"/>
          <w:noProof/>
          <w:sz w:val="24"/>
          <w:szCs w:val="24"/>
        </w:rPr>
        <w:tab/>
        <w:t>Rhee RL, Grayson PC, Merkel PA, Tomasson G. Infections and the risk of incident giant cell arteritis : a population-based , case-control study. 2017:1031-1035. doi:10.1136/annrheumdis-2016-210152</w:t>
      </w:r>
    </w:p>
    <w:p w14:paraId="33D80F64"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24. </w:t>
      </w:r>
      <w:r w:rsidRPr="00B53AB8">
        <w:rPr>
          <w:rFonts w:ascii="Times New Roman" w:hAnsi="Times New Roman" w:cs="Times New Roman"/>
          <w:noProof/>
          <w:sz w:val="24"/>
          <w:szCs w:val="24"/>
        </w:rPr>
        <w:tab/>
        <w:t>Gilden D, White T, Khmeleva N, et al. Prevalence and distribution of VZV in temporal arteries of patients with giant cell arteritis. 2015.</w:t>
      </w:r>
    </w:p>
    <w:p w14:paraId="02D3329E"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25. </w:t>
      </w:r>
      <w:r w:rsidRPr="00B53AB8">
        <w:rPr>
          <w:rFonts w:ascii="Times New Roman" w:hAnsi="Times New Roman" w:cs="Times New Roman"/>
          <w:noProof/>
          <w:sz w:val="24"/>
          <w:szCs w:val="24"/>
        </w:rPr>
        <w:tab/>
        <w:t>Russo MG, Waxman J, Abdoh AA, Serebro LH. CORRELATI0 : N BETWEEN INFECTION AND THE ONSET OF THE GIANT CELL ( TEMPORAL ) ARTERITIS SYNDROME A Trigger Mechanism ? 1995;38(3):374-380.</w:t>
      </w:r>
    </w:p>
    <w:p w14:paraId="7B498F37"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26. </w:t>
      </w:r>
      <w:r w:rsidRPr="00B53AB8">
        <w:rPr>
          <w:rFonts w:ascii="Times New Roman" w:hAnsi="Times New Roman" w:cs="Times New Roman"/>
          <w:noProof/>
          <w:sz w:val="24"/>
          <w:szCs w:val="24"/>
        </w:rPr>
        <w:tab/>
        <w:t xml:space="preserve">Root-Bernstein R, Fairweather D. Complexities in the relationship between infection and autoimmunity. </w:t>
      </w:r>
      <w:r w:rsidRPr="00B53AB8">
        <w:rPr>
          <w:rFonts w:ascii="Times New Roman" w:hAnsi="Times New Roman" w:cs="Times New Roman"/>
          <w:i/>
          <w:iCs/>
          <w:noProof/>
          <w:sz w:val="24"/>
          <w:szCs w:val="24"/>
        </w:rPr>
        <w:t>Curr Allergy Asthma Rep</w:t>
      </w:r>
      <w:r w:rsidRPr="00B53AB8">
        <w:rPr>
          <w:rFonts w:ascii="Times New Roman" w:hAnsi="Times New Roman" w:cs="Times New Roman"/>
          <w:noProof/>
          <w:sz w:val="24"/>
          <w:szCs w:val="24"/>
        </w:rPr>
        <w:t>. 2014. doi:10.1007/s11882-013-0407-3</w:t>
      </w:r>
    </w:p>
    <w:p w14:paraId="75F9B207" w14:textId="77777777" w:rsidR="00AD2722" w:rsidRDefault="00AD2722">
      <w:pPr>
        <w:rPr>
          <w:rFonts w:ascii="Times New Roman" w:hAnsi="Times New Roman" w:cs="Times New Roman"/>
          <w:noProof/>
          <w:sz w:val="24"/>
          <w:szCs w:val="24"/>
        </w:rPr>
      </w:pPr>
      <w:r>
        <w:rPr>
          <w:rFonts w:ascii="Times New Roman" w:hAnsi="Times New Roman" w:cs="Times New Roman"/>
          <w:noProof/>
          <w:sz w:val="24"/>
          <w:szCs w:val="24"/>
        </w:rPr>
        <w:br w:type="page"/>
      </w:r>
    </w:p>
    <w:p w14:paraId="50083D8C" w14:textId="6F324122"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lastRenderedPageBreak/>
        <w:t xml:space="preserve">27. </w:t>
      </w:r>
      <w:r w:rsidRPr="00B53AB8">
        <w:rPr>
          <w:rFonts w:ascii="Times New Roman" w:hAnsi="Times New Roman" w:cs="Times New Roman"/>
          <w:noProof/>
          <w:sz w:val="24"/>
          <w:szCs w:val="24"/>
        </w:rPr>
        <w:tab/>
        <w:t>Reszka E, Jegier B, Wasowicz W, Lelonek M. Detection of infectious agents by polymerase chain reaction in human aortic wall. 2008;17:297-302. doi:10.1016/j.carpath.2007.11.002</w:t>
      </w:r>
    </w:p>
    <w:p w14:paraId="672E0B7C"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28. </w:t>
      </w:r>
      <w:r w:rsidRPr="00B53AB8">
        <w:rPr>
          <w:rFonts w:ascii="Times New Roman" w:hAnsi="Times New Roman" w:cs="Times New Roman"/>
          <w:noProof/>
          <w:sz w:val="24"/>
          <w:szCs w:val="24"/>
        </w:rPr>
        <w:tab/>
        <w:t xml:space="preserve">Kieffer P, Hinschberger O, Ciobanu E, et al. Efficacité clinique et biologique du tocilizumab au cours de la maladie de Horton: À propos de trois observations et revue de la littérature. </w:t>
      </w:r>
      <w:r w:rsidRPr="00B53AB8">
        <w:rPr>
          <w:rFonts w:ascii="Times New Roman" w:hAnsi="Times New Roman" w:cs="Times New Roman"/>
          <w:i/>
          <w:iCs/>
          <w:noProof/>
          <w:sz w:val="24"/>
          <w:szCs w:val="24"/>
        </w:rPr>
        <w:t>Rev Med Interne</w:t>
      </w:r>
      <w:r w:rsidRPr="00B53AB8">
        <w:rPr>
          <w:rFonts w:ascii="Times New Roman" w:hAnsi="Times New Roman" w:cs="Times New Roman"/>
          <w:noProof/>
          <w:sz w:val="24"/>
          <w:szCs w:val="24"/>
        </w:rPr>
        <w:t>. 2014;35(1):56-59. doi:10.1016/j.revmed.2012.12.012</w:t>
      </w:r>
    </w:p>
    <w:p w14:paraId="6C7B75E7"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29. </w:t>
      </w:r>
      <w:r w:rsidRPr="00B53AB8">
        <w:rPr>
          <w:rFonts w:ascii="Times New Roman" w:hAnsi="Times New Roman" w:cs="Times New Roman"/>
          <w:noProof/>
          <w:sz w:val="24"/>
          <w:szCs w:val="24"/>
        </w:rPr>
        <w:tab/>
        <w:t xml:space="preserve">Turesson C, Börjesson O, Larsson K, Mohammad A, Knight A. Swedish Society of Rheumatology 2018 guidelines for investigation, treatment, and follow-up of giant cell arteritis. </w:t>
      </w:r>
      <w:r w:rsidRPr="00B53AB8">
        <w:rPr>
          <w:rFonts w:ascii="Times New Roman" w:hAnsi="Times New Roman" w:cs="Times New Roman"/>
          <w:i/>
          <w:iCs/>
          <w:noProof/>
          <w:sz w:val="24"/>
          <w:szCs w:val="24"/>
        </w:rPr>
        <w:t>Scand J Rheumatol</w:t>
      </w:r>
      <w:r w:rsidRPr="00B53AB8">
        <w:rPr>
          <w:rFonts w:ascii="Times New Roman" w:hAnsi="Times New Roman" w:cs="Times New Roman"/>
          <w:noProof/>
          <w:sz w:val="24"/>
          <w:szCs w:val="24"/>
        </w:rPr>
        <w:t>. 2019;00(00):1-7. doi:10.1080/03009742.2019.1571223</w:t>
      </w:r>
    </w:p>
    <w:p w14:paraId="5767014C"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30. </w:t>
      </w:r>
      <w:r w:rsidRPr="00B53AB8">
        <w:rPr>
          <w:rFonts w:ascii="Times New Roman" w:hAnsi="Times New Roman" w:cs="Times New Roman"/>
          <w:noProof/>
          <w:sz w:val="24"/>
          <w:szCs w:val="24"/>
        </w:rPr>
        <w:tab/>
        <w:t>Zou Q, Ma S, Zhou X. Ultrasound versus temporal artery biopsy in patients with Giant cell arteritis : a prospective cohort study. 2019:1-12.</w:t>
      </w:r>
    </w:p>
    <w:p w14:paraId="25A9AD7B"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31. </w:t>
      </w:r>
      <w:r w:rsidRPr="00B53AB8">
        <w:rPr>
          <w:rFonts w:ascii="Times New Roman" w:hAnsi="Times New Roman" w:cs="Times New Roman"/>
          <w:noProof/>
          <w:sz w:val="24"/>
          <w:szCs w:val="24"/>
        </w:rPr>
        <w:tab/>
        <w:t>Peral-cagigal B, Pérez-villar Á, García-sierra C. Temporal headache and jaw claudication may be the key for the diagnosis of giant cell arteritis. 2018;23(3):290-294. doi:10.4317/medoral.22298</w:t>
      </w:r>
    </w:p>
    <w:p w14:paraId="79711E99"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32. </w:t>
      </w:r>
      <w:r w:rsidRPr="00B53AB8">
        <w:rPr>
          <w:rFonts w:ascii="Times New Roman" w:hAnsi="Times New Roman" w:cs="Times New Roman"/>
          <w:noProof/>
          <w:sz w:val="24"/>
          <w:szCs w:val="24"/>
        </w:rPr>
        <w:tab/>
        <w:t>Karahaliou M, Vaiopoulos G, Papaspyrou S, Kanakis MA, Revenas K, Sfikakis PP. Research article Colour duplex sonography of temporal arteries before decision for biopsy : a prospective study in 55 patients with suspected giant cell arteritis. 2006;8(4):1-8. doi:10.1186/ar2003</w:t>
      </w:r>
    </w:p>
    <w:p w14:paraId="03AFC866"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33. </w:t>
      </w:r>
      <w:r w:rsidRPr="00B53AB8">
        <w:rPr>
          <w:rFonts w:ascii="Times New Roman" w:hAnsi="Times New Roman" w:cs="Times New Roman"/>
          <w:noProof/>
          <w:sz w:val="24"/>
          <w:szCs w:val="24"/>
        </w:rPr>
        <w:tab/>
        <w:t>Diamantopoulos AP, Myklebust G. Long-term inflammation in the temporal artery of a giant cell arteritis patient as detected by ultrasound. 2014:102-103. doi:10.1177/1759720X14521109</w:t>
      </w:r>
    </w:p>
    <w:p w14:paraId="09A7AB6D"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34. </w:t>
      </w:r>
      <w:r w:rsidRPr="00B53AB8">
        <w:rPr>
          <w:rFonts w:ascii="Times New Roman" w:hAnsi="Times New Roman" w:cs="Times New Roman"/>
          <w:noProof/>
          <w:sz w:val="24"/>
          <w:szCs w:val="24"/>
        </w:rPr>
        <w:tab/>
        <w:t xml:space="preserve">Bley TA, Wieben O, Vaith P, et al. Magnetic resonance imaging depicts mural inflammation of the temporal artery in giant cell arteritis [2] (multiple letters). </w:t>
      </w:r>
      <w:r w:rsidRPr="00B53AB8">
        <w:rPr>
          <w:rFonts w:ascii="Times New Roman" w:hAnsi="Times New Roman" w:cs="Times New Roman"/>
          <w:i/>
          <w:iCs/>
          <w:noProof/>
          <w:sz w:val="24"/>
          <w:szCs w:val="24"/>
        </w:rPr>
        <w:t>Arthritis Care Res</w:t>
      </w:r>
      <w:r w:rsidRPr="00B53AB8">
        <w:rPr>
          <w:rFonts w:ascii="Times New Roman" w:hAnsi="Times New Roman" w:cs="Times New Roman"/>
          <w:noProof/>
          <w:sz w:val="24"/>
          <w:szCs w:val="24"/>
        </w:rPr>
        <w:t>. 2004;51(6):1062-1064. doi:10.1002/art.20840</w:t>
      </w:r>
    </w:p>
    <w:p w14:paraId="00683B2F"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35. </w:t>
      </w:r>
      <w:r w:rsidRPr="00B53AB8">
        <w:rPr>
          <w:rFonts w:ascii="Times New Roman" w:hAnsi="Times New Roman" w:cs="Times New Roman"/>
          <w:noProof/>
          <w:sz w:val="24"/>
          <w:szCs w:val="24"/>
        </w:rPr>
        <w:tab/>
        <w:t>Puppo C, Massollo M, Paparo F, et al. Giant Cell Arteritis : A Systematic Review of the Qualitative and Semiquantitative Methods to Assess Vasculitis with 18F-Fluorodeoxyglucose Positron Emission Tomography. 2014;2014:1-11. doi:10.1155/2014/574248</w:t>
      </w:r>
    </w:p>
    <w:p w14:paraId="4DF27E94" w14:textId="77777777" w:rsidR="00AD2722" w:rsidRDefault="00AD2722">
      <w:pPr>
        <w:rPr>
          <w:rFonts w:ascii="Times New Roman" w:hAnsi="Times New Roman" w:cs="Times New Roman"/>
          <w:noProof/>
          <w:sz w:val="24"/>
          <w:szCs w:val="24"/>
        </w:rPr>
      </w:pPr>
      <w:r>
        <w:rPr>
          <w:rFonts w:ascii="Times New Roman" w:hAnsi="Times New Roman" w:cs="Times New Roman"/>
          <w:noProof/>
          <w:sz w:val="24"/>
          <w:szCs w:val="24"/>
        </w:rPr>
        <w:br w:type="page"/>
      </w:r>
    </w:p>
    <w:p w14:paraId="39B33199" w14:textId="072FC05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lastRenderedPageBreak/>
        <w:t xml:space="preserve">36. </w:t>
      </w:r>
      <w:r w:rsidRPr="00B53AB8">
        <w:rPr>
          <w:rFonts w:ascii="Times New Roman" w:hAnsi="Times New Roman" w:cs="Times New Roman"/>
          <w:noProof/>
          <w:sz w:val="24"/>
          <w:szCs w:val="24"/>
        </w:rPr>
        <w:tab/>
        <w:t>Dejaco C, Ramiro S, Duftner C, et al. EULAR recommendations for the use of imaging in large vessel vasculitis in clinical practice. 2018;(1):636-643. doi:10.1136/annrheumdis-2017-212649</w:t>
      </w:r>
    </w:p>
    <w:p w14:paraId="2A8284EA"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53AB8">
        <w:rPr>
          <w:rFonts w:ascii="Times New Roman" w:hAnsi="Times New Roman" w:cs="Times New Roman"/>
          <w:noProof/>
          <w:sz w:val="24"/>
          <w:szCs w:val="24"/>
        </w:rPr>
        <w:t xml:space="preserve">37. </w:t>
      </w:r>
      <w:r w:rsidRPr="00B53AB8">
        <w:rPr>
          <w:rFonts w:ascii="Times New Roman" w:hAnsi="Times New Roman" w:cs="Times New Roman"/>
          <w:noProof/>
          <w:sz w:val="24"/>
          <w:szCs w:val="24"/>
        </w:rPr>
        <w:tab/>
        <w:t xml:space="preserve">Aiello PD, Trautmann JC, McPhee TJ, Kunselman AR, Hunder GG. Visual Prognosis in Giant Cell Arteritis. </w:t>
      </w:r>
      <w:r w:rsidRPr="00B53AB8">
        <w:rPr>
          <w:rFonts w:ascii="Times New Roman" w:hAnsi="Times New Roman" w:cs="Times New Roman"/>
          <w:i/>
          <w:iCs/>
          <w:noProof/>
          <w:sz w:val="24"/>
          <w:szCs w:val="24"/>
        </w:rPr>
        <w:t>Ophthalmology</w:t>
      </w:r>
      <w:r w:rsidRPr="00B53AB8">
        <w:rPr>
          <w:rFonts w:ascii="Times New Roman" w:hAnsi="Times New Roman" w:cs="Times New Roman"/>
          <w:noProof/>
          <w:sz w:val="24"/>
          <w:szCs w:val="24"/>
        </w:rPr>
        <w:t>. 1993. doi:10.1016/S0161-6420(93)31608-8</w:t>
      </w:r>
    </w:p>
    <w:p w14:paraId="6C31CE0F" w14:textId="77777777" w:rsidR="00B53AB8" w:rsidRPr="00B53AB8" w:rsidRDefault="00B53AB8" w:rsidP="00B53AB8">
      <w:pPr>
        <w:widowControl w:val="0"/>
        <w:autoSpaceDE w:val="0"/>
        <w:autoSpaceDN w:val="0"/>
        <w:adjustRightInd w:val="0"/>
        <w:spacing w:after="0" w:line="360" w:lineRule="auto"/>
        <w:ind w:left="640" w:hanging="640"/>
        <w:rPr>
          <w:rFonts w:ascii="Times New Roman" w:hAnsi="Times New Roman" w:cs="Times New Roman"/>
          <w:noProof/>
          <w:sz w:val="24"/>
        </w:rPr>
      </w:pPr>
      <w:r w:rsidRPr="00B53AB8">
        <w:rPr>
          <w:rFonts w:ascii="Times New Roman" w:hAnsi="Times New Roman" w:cs="Times New Roman"/>
          <w:noProof/>
          <w:sz w:val="24"/>
          <w:szCs w:val="24"/>
        </w:rPr>
        <w:t xml:space="preserve">38. </w:t>
      </w:r>
      <w:r w:rsidRPr="00B53AB8">
        <w:rPr>
          <w:rFonts w:ascii="Times New Roman" w:hAnsi="Times New Roman" w:cs="Times New Roman"/>
          <w:noProof/>
          <w:sz w:val="24"/>
          <w:szCs w:val="24"/>
        </w:rPr>
        <w:tab/>
        <w:t xml:space="preserve">Vanda Lucia Zammuner. </w:t>
      </w:r>
      <w:r w:rsidRPr="00B53AB8">
        <w:rPr>
          <w:rFonts w:ascii="Times New Roman" w:hAnsi="Times New Roman" w:cs="Times New Roman"/>
          <w:i/>
          <w:iCs/>
          <w:noProof/>
          <w:sz w:val="24"/>
          <w:szCs w:val="24"/>
        </w:rPr>
        <w:t>Interviste e Questionari. Processi Psicologici e Qualità Dei Dati</w:t>
      </w:r>
      <w:r w:rsidRPr="00B53AB8">
        <w:rPr>
          <w:rFonts w:ascii="Times New Roman" w:hAnsi="Times New Roman" w:cs="Times New Roman"/>
          <w:noProof/>
          <w:sz w:val="24"/>
          <w:szCs w:val="24"/>
        </w:rPr>
        <w:t>. Borla; 1996.</w:t>
      </w:r>
    </w:p>
    <w:p w14:paraId="520534F3" w14:textId="77777777" w:rsidR="00831ACD" w:rsidRDefault="005E4031" w:rsidP="00831ACD">
      <w:pPr>
        <w:pStyle w:val="NormaleWeb"/>
        <w:spacing w:before="0" w:beforeAutospacing="0" w:after="0" w:afterAutospacing="0" w:line="360" w:lineRule="auto"/>
        <w:ind w:left="720"/>
      </w:pPr>
      <w:r>
        <w:fldChar w:fldCharType="end"/>
      </w:r>
    </w:p>
    <w:p w14:paraId="2CCD372E" w14:textId="77777777" w:rsidR="007E2F3E" w:rsidRDefault="007E2F3E" w:rsidP="00B8176F">
      <w:pPr>
        <w:pStyle w:val="NormaleWeb"/>
        <w:spacing w:before="0" w:beforeAutospacing="0" w:after="0" w:afterAutospacing="0" w:line="360" w:lineRule="auto"/>
        <w:ind w:left="720"/>
      </w:pPr>
    </w:p>
    <w:p w14:paraId="57CA9E93" w14:textId="223DEC55" w:rsidR="00651C15" w:rsidRDefault="00651C15" w:rsidP="00B8176F">
      <w:pPr>
        <w:pStyle w:val="NormaleWeb"/>
        <w:spacing w:before="0" w:beforeAutospacing="0" w:after="0" w:afterAutospacing="0" w:line="360" w:lineRule="auto"/>
        <w:ind w:left="720"/>
      </w:pPr>
    </w:p>
    <w:p w14:paraId="3CA046F4" w14:textId="6BCEE2D1" w:rsidR="00E841CD" w:rsidRDefault="00E841CD" w:rsidP="00B8176F">
      <w:pPr>
        <w:pStyle w:val="NormaleWeb"/>
        <w:spacing w:before="0" w:beforeAutospacing="0" w:after="0" w:afterAutospacing="0" w:line="360" w:lineRule="auto"/>
        <w:ind w:left="720"/>
      </w:pPr>
    </w:p>
    <w:p w14:paraId="7AE06681" w14:textId="0DC9695D" w:rsidR="00E841CD" w:rsidRDefault="00E841CD" w:rsidP="00B8176F">
      <w:pPr>
        <w:pStyle w:val="NormaleWeb"/>
        <w:spacing w:before="0" w:beforeAutospacing="0" w:after="0" w:afterAutospacing="0" w:line="360" w:lineRule="auto"/>
        <w:ind w:left="720"/>
      </w:pPr>
    </w:p>
    <w:p w14:paraId="02DBCA10" w14:textId="44E380E8" w:rsidR="00E841CD" w:rsidRDefault="00E841CD" w:rsidP="00B8176F">
      <w:pPr>
        <w:pStyle w:val="NormaleWeb"/>
        <w:spacing w:before="0" w:beforeAutospacing="0" w:after="0" w:afterAutospacing="0" w:line="360" w:lineRule="auto"/>
        <w:ind w:left="720"/>
      </w:pPr>
    </w:p>
    <w:p w14:paraId="66D52DDB" w14:textId="1B4D18C8" w:rsidR="00E841CD" w:rsidRDefault="00E841CD" w:rsidP="00B8176F">
      <w:pPr>
        <w:pStyle w:val="NormaleWeb"/>
        <w:spacing w:before="0" w:beforeAutospacing="0" w:after="0" w:afterAutospacing="0" w:line="360" w:lineRule="auto"/>
        <w:ind w:left="720"/>
      </w:pPr>
    </w:p>
    <w:p w14:paraId="77BC6B8C" w14:textId="1276D139" w:rsidR="00E841CD" w:rsidRDefault="00E841CD" w:rsidP="00B8176F">
      <w:pPr>
        <w:pStyle w:val="NormaleWeb"/>
        <w:spacing w:before="0" w:beforeAutospacing="0" w:after="0" w:afterAutospacing="0" w:line="360" w:lineRule="auto"/>
        <w:ind w:left="720"/>
      </w:pPr>
    </w:p>
    <w:p w14:paraId="734538D1" w14:textId="41A1A435" w:rsidR="00E841CD" w:rsidRDefault="00E841CD" w:rsidP="00B8176F">
      <w:pPr>
        <w:pStyle w:val="NormaleWeb"/>
        <w:spacing w:before="0" w:beforeAutospacing="0" w:after="0" w:afterAutospacing="0" w:line="360" w:lineRule="auto"/>
        <w:ind w:left="720"/>
      </w:pPr>
    </w:p>
    <w:p w14:paraId="71256FE0" w14:textId="77777777" w:rsidR="00E841CD" w:rsidRDefault="00E841CD" w:rsidP="00B8176F">
      <w:pPr>
        <w:pStyle w:val="NormaleWeb"/>
        <w:spacing w:before="0" w:beforeAutospacing="0" w:after="0" w:afterAutospacing="0" w:line="360" w:lineRule="auto"/>
        <w:ind w:left="720"/>
      </w:pPr>
    </w:p>
    <w:p w14:paraId="13325674" w14:textId="77777777" w:rsidR="00651C15" w:rsidRPr="00B8176F" w:rsidRDefault="00651C15" w:rsidP="00B8176F">
      <w:pPr>
        <w:pStyle w:val="NormaleWeb"/>
        <w:spacing w:before="0" w:beforeAutospacing="0" w:after="0" w:afterAutospacing="0" w:line="360" w:lineRule="auto"/>
        <w:ind w:left="720"/>
      </w:pPr>
    </w:p>
    <w:p w14:paraId="22747F6A" w14:textId="77777777" w:rsidR="00266D48" w:rsidRPr="006B11C2" w:rsidRDefault="00266D48" w:rsidP="006B11C2">
      <w:pPr>
        <w:spacing w:after="160" w:line="360" w:lineRule="auto"/>
        <w:outlineLvl w:val="0"/>
        <w:rPr>
          <w:rFonts w:ascii="Times New Roman" w:hAnsi="Times New Roman"/>
          <w:sz w:val="24"/>
          <w:szCs w:val="24"/>
        </w:rPr>
      </w:pPr>
    </w:p>
    <w:p w14:paraId="6A48BCA7" w14:textId="77777777" w:rsidR="001A08BD" w:rsidRPr="00F555AD" w:rsidRDefault="001A08BD" w:rsidP="009464C3">
      <w:pPr>
        <w:spacing w:line="360" w:lineRule="auto"/>
        <w:rPr>
          <w:rFonts w:ascii="Times New Roman" w:hAnsi="Times New Roman" w:cs="Times New Roman"/>
        </w:rPr>
      </w:pPr>
    </w:p>
    <w:p w14:paraId="037A46E3" w14:textId="77777777" w:rsidR="001A08BD" w:rsidRPr="00F555AD" w:rsidRDefault="001A08BD" w:rsidP="009464C3">
      <w:pPr>
        <w:spacing w:line="360" w:lineRule="auto"/>
        <w:rPr>
          <w:rFonts w:ascii="Times New Roman" w:hAnsi="Times New Roman" w:cs="Times New Roman"/>
        </w:rPr>
      </w:pPr>
    </w:p>
    <w:p w14:paraId="04FE1B61" w14:textId="77777777" w:rsidR="001A08BD" w:rsidRPr="00F555AD" w:rsidRDefault="001A08BD" w:rsidP="009464C3">
      <w:pPr>
        <w:spacing w:line="360" w:lineRule="auto"/>
        <w:rPr>
          <w:rFonts w:ascii="Times New Roman" w:hAnsi="Times New Roman" w:cs="Times New Roman"/>
        </w:rPr>
      </w:pPr>
    </w:p>
    <w:p w14:paraId="236D1276" w14:textId="77777777" w:rsidR="001A08BD" w:rsidRPr="00F555AD" w:rsidRDefault="001A08BD" w:rsidP="009464C3">
      <w:pPr>
        <w:pStyle w:val="Paragrafoelenco"/>
        <w:spacing w:line="360" w:lineRule="auto"/>
        <w:ind w:left="0"/>
        <w:rPr>
          <w:rFonts w:ascii="Times New Roman" w:hAnsi="Times New Roman"/>
        </w:rPr>
      </w:pPr>
    </w:p>
    <w:p w14:paraId="2A69F184" w14:textId="77777777" w:rsidR="001A08BD" w:rsidRPr="00F555AD" w:rsidRDefault="001A08BD" w:rsidP="009464C3">
      <w:pPr>
        <w:spacing w:line="360" w:lineRule="auto"/>
        <w:rPr>
          <w:rFonts w:ascii="Times New Roman" w:hAnsi="Times New Roman" w:cs="Times New Roman"/>
        </w:rPr>
      </w:pPr>
    </w:p>
    <w:p w14:paraId="3D6314B8" w14:textId="77777777" w:rsidR="001A08BD" w:rsidRPr="00F555AD" w:rsidRDefault="001A08BD" w:rsidP="009464C3">
      <w:pPr>
        <w:spacing w:line="360" w:lineRule="auto"/>
        <w:rPr>
          <w:rFonts w:ascii="Times New Roman" w:hAnsi="Times New Roman" w:cs="Times New Roman"/>
          <w:b/>
          <w:sz w:val="24"/>
          <w:szCs w:val="24"/>
        </w:rPr>
      </w:pPr>
    </w:p>
    <w:p w14:paraId="1D1EA06D" w14:textId="77777777" w:rsidR="001A08BD" w:rsidRPr="00F555AD" w:rsidRDefault="001A08BD" w:rsidP="009464C3">
      <w:pPr>
        <w:spacing w:line="360" w:lineRule="auto"/>
        <w:rPr>
          <w:rFonts w:ascii="Times New Roman" w:hAnsi="Times New Roman" w:cs="Times New Roman"/>
          <w:b/>
          <w:sz w:val="24"/>
          <w:szCs w:val="24"/>
        </w:rPr>
      </w:pPr>
    </w:p>
    <w:p w14:paraId="5DB497E4" w14:textId="77777777" w:rsidR="001A08BD" w:rsidRPr="00F555AD" w:rsidRDefault="001A08BD" w:rsidP="009464C3">
      <w:pPr>
        <w:spacing w:line="360" w:lineRule="auto"/>
        <w:rPr>
          <w:rFonts w:ascii="Times New Roman" w:hAnsi="Times New Roman" w:cs="Times New Roman"/>
        </w:rPr>
      </w:pPr>
    </w:p>
    <w:p w14:paraId="024599D8" w14:textId="77777777" w:rsidR="00E841CD" w:rsidRPr="00DD1B9D" w:rsidRDefault="00E841CD" w:rsidP="00E841CD">
      <w:pPr>
        <w:pStyle w:val="Paragrafoelenco"/>
        <w:numPr>
          <w:ilvl w:val="0"/>
          <w:numId w:val="5"/>
        </w:numPr>
        <w:spacing w:after="160" w:line="360" w:lineRule="auto"/>
        <w:outlineLvl w:val="0"/>
        <w:rPr>
          <w:rFonts w:ascii="Times New Roman" w:hAnsi="Times New Roman"/>
          <w:b/>
          <w:sz w:val="28"/>
          <w:szCs w:val="28"/>
        </w:rPr>
      </w:pPr>
      <w:bookmarkStart w:id="31" w:name="_Toc12908082"/>
      <w:r w:rsidRPr="00DD1B9D">
        <w:rPr>
          <w:rFonts w:ascii="Times New Roman" w:hAnsi="Times New Roman"/>
          <w:b/>
          <w:sz w:val="28"/>
          <w:szCs w:val="28"/>
        </w:rPr>
        <w:lastRenderedPageBreak/>
        <w:t>RINGRAZIAMENTI</w:t>
      </w:r>
      <w:bookmarkEnd w:id="31"/>
    </w:p>
    <w:p w14:paraId="432B9869" w14:textId="77777777" w:rsidR="00E841CD" w:rsidRDefault="00E841CD" w:rsidP="00E841CD">
      <w:pPr>
        <w:rPr>
          <w:rFonts w:ascii="Times New Roman" w:hAnsi="Times New Roman"/>
          <w:sz w:val="24"/>
          <w:szCs w:val="24"/>
        </w:rPr>
      </w:pPr>
      <w:r>
        <w:rPr>
          <w:rFonts w:ascii="Times New Roman" w:hAnsi="Times New Roman"/>
          <w:sz w:val="24"/>
          <w:szCs w:val="24"/>
        </w:rPr>
        <w:t>Al prof. Cimmino un grazie per la disponibilità e la pazienza con cui mi ha seguito in questo percorso, dandomi sempre aiuto in ogni momento ne avessi bisogno.</w:t>
      </w:r>
    </w:p>
    <w:p w14:paraId="7A82BCAD" w14:textId="77777777" w:rsidR="00E841CD" w:rsidRDefault="00E841CD" w:rsidP="00E841CD">
      <w:pPr>
        <w:rPr>
          <w:rFonts w:ascii="Times New Roman" w:hAnsi="Times New Roman"/>
          <w:sz w:val="24"/>
          <w:szCs w:val="24"/>
        </w:rPr>
      </w:pPr>
      <w:r>
        <w:rPr>
          <w:rFonts w:ascii="Times New Roman" w:hAnsi="Times New Roman"/>
          <w:sz w:val="24"/>
          <w:szCs w:val="24"/>
        </w:rPr>
        <w:t>Al prof. Stimamiglio un ringraziamento per l’aiuto fondamentale che mi ha dato nel reperire i dati per poter svolgere questo lavoro.</w:t>
      </w:r>
    </w:p>
    <w:p w14:paraId="048D231A" w14:textId="77777777" w:rsidR="00E841CD" w:rsidRDefault="00E841CD" w:rsidP="00E841CD">
      <w:pPr>
        <w:rPr>
          <w:rFonts w:ascii="Times New Roman" w:hAnsi="Times New Roman"/>
          <w:sz w:val="24"/>
          <w:szCs w:val="24"/>
        </w:rPr>
      </w:pPr>
      <w:r>
        <w:rPr>
          <w:rFonts w:ascii="Times New Roman" w:hAnsi="Times New Roman"/>
          <w:sz w:val="24"/>
          <w:szCs w:val="24"/>
        </w:rPr>
        <w:t>Alla mia famiglia, agli amici e alle altre persone che mi sono state vicino, sapete che scrivere ringraziamenti “pubblici” non è nelle mie corde e chi deve essere ringraziato lo è stato di persona.</w:t>
      </w:r>
    </w:p>
    <w:p w14:paraId="7433F851" w14:textId="77777777" w:rsidR="001A08BD" w:rsidRPr="00F555AD" w:rsidRDefault="001A08BD" w:rsidP="009464C3">
      <w:pPr>
        <w:spacing w:line="360" w:lineRule="auto"/>
        <w:rPr>
          <w:rFonts w:ascii="Times New Roman" w:hAnsi="Times New Roman" w:cs="Times New Roman"/>
        </w:rPr>
      </w:pPr>
    </w:p>
    <w:p w14:paraId="08CA2A40" w14:textId="77777777" w:rsidR="001A08BD" w:rsidRPr="00F555AD" w:rsidRDefault="001A08BD" w:rsidP="009464C3">
      <w:pPr>
        <w:spacing w:line="360" w:lineRule="auto"/>
        <w:rPr>
          <w:rFonts w:ascii="Times New Roman" w:hAnsi="Times New Roman" w:cs="Times New Roman"/>
        </w:rPr>
      </w:pPr>
    </w:p>
    <w:p w14:paraId="4EC37F3D" w14:textId="77777777" w:rsidR="001A08BD" w:rsidRPr="00F555AD" w:rsidRDefault="001A08BD" w:rsidP="009464C3">
      <w:pPr>
        <w:spacing w:line="360" w:lineRule="auto"/>
        <w:rPr>
          <w:rFonts w:ascii="Times New Roman" w:hAnsi="Times New Roman" w:cs="Times New Roman"/>
        </w:rPr>
      </w:pPr>
    </w:p>
    <w:p w14:paraId="3CF52485" w14:textId="77777777" w:rsidR="001A08BD" w:rsidRPr="00F555AD" w:rsidRDefault="001A08BD" w:rsidP="009464C3">
      <w:pPr>
        <w:pStyle w:val="Paragrafoelenco"/>
        <w:spacing w:line="360" w:lineRule="auto"/>
        <w:ind w:left="360"/>
        <w:rPr>
          <w:rFonts w:ascii="Times New Roman" w:hAnsi="Times New Roman"/>
        </w:rPr>
      </w:pPr>
    </w:p>
    <w:p w14:paraId="2386E898" w14:textId="77777777" w:rsidR="001A08BD" w:rsidRPr="00F555AD" w:rsidRDefault="001A08BD" w:rsidP="009464C3">
      <w:pPr>
        <w:spacing w:line="360" w:lineRule="auto"/>
        <w:rPr>
          <w:rFonts w:ascii="Times New Roman" w:hAnsi="Times New Roman" w:cs="Times New Roman"/>
        </w:rPr>
      </w:pPr>
    </w:p>
    <w:p w14:paraId="0995E6BD" w14:textId="77777777" w:rsidR="00B23FB5" w:rsidRPr="00F555AD" w:rsidRDefault="00B23FB5" w:rsidP="009464C3">
      <w:pPr>
        <w:pStyle w:val="Titolone"/>
        <w:numPr>
          <w:ilvl w:val="0"/>
          <w:numId w:val="0"/>
        </w:numPr>
        <w:spacing w:line="360" w:lineRule="auto"/>
        <w:ind w:left="1494" w:hanging="360"/>
        <w:jc w:val="left"/>
      </w:pPr>
    </w:p>
    <w:sectPr w:rsidR="00B23FB5" w:rsidRPr="00F555AD" w:rsidSect="0095234F">
      <w:footerReference w:type="default" r:id="rId35"/>
      <w:pgSz w:w="11906" w:h="16838"/>
      <w:pgMar w:top="1418" w:right="1418" w:bottom="1985" w:left="2552"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CFDF6" w14:textId="77777777" w:rsidR="003340BE" w:rsidRDefault="003340BE" w:rsidP="00FD0F74">
      <w:pPr>
        <w:spacing w:after="0" w:line="240" w:lineRule="auto"/>
      </w:pPr>
      <w:r>
        <w:separator/>
      </w:r>
    </w:p>
  </w:endnote>
  <w:endnote w:type="continuationSeparator" w:id="0">
    <w:p w14:paraId="1D39A0CA" w14:textId="77777777" w:rsidR="003340BE" w:rsidRDefault="003340BE" w:rsidP="00FD0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nQuanYi Micro Hei">
    <w:charset w:val="00"/>
    <w:family w:val="auto"/>
    <w:pitch w:val="variable"/>
  </w:font>
  <w:font w:name="Lohit Hindi">
    <w:altName w:val="Times New Roman"/>
    <w:charset w:val="00"/>
    <w:family w:val="auto"/>
    <w:pitch w:val="default"/>
  </w:font>
  <w:font w:name="QyxpjhAdvTT86d47313">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298202"/>
      <w:docPartObj>
        <w:docPartGallery w:val="Page Numbers (Bottom of Page)"/>
        <w:docPartUnique/>
      </w:docPartObj>
    </w:sdtPr>
    <w:sdtEndPr/>
    <w:sdtContent>
      <w:p w14:paraId="145E3489" w14:textId="3B74F36D" w:rsidR="00C93774" w:rsidRDefault="00C93774">
        <w:pPr>
          <w:pStyle w:val="Pidipagina"/>
          <w:jc w:val="right"/>
        </w:pPr>
        <w:r>
          <w:fldChar w:fldCharType="begin"/>
        </w:r>
        <w:r>
          <w:instrText>PAGE   \* MERGEFORMAT</w:instrText>
        </w:r>
        <w:r>
          <w:fldChar w:fldCharType="separate"/>
        </w:r>
        <w:r w:rsidR="00FA4826">
          <w:rPr>
            <w:noProof/>
          </w:rPr>
          <w:t>56</w:t>
        </w:r>
        <w:r>
          <w:fldChar w:fldCharType="end"/>
        </w:r>
      </w:p>
    </w:sdtContent>
  </w:sdt>
  <w:p w14:paraId="79F67AAF" w14:textId="77777777" w:rsidR="00C93774" w:rsidRDefault="00C9377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470518"/>
      <w:docPartObj>
        <w:docPartGallery w:val="Page Numbers (Bottom of Page)"/>
        <w:docPartUnique/>
      </w:docPartObj>
    </w:sdtPr>
    <w:sdtEndPr/>
    <w:sdtContent>
      <w:p w14:paraId="06CB2549" w14:textId="77777777" w:rsidR="00C93774" w:rsidRDefault="00C93774">
        <w:pPr>
          <w:pStyle w:val="Pidipagina"/>
        </w:pPr>
        <w:r>
          <w:fldChar w:fldCharType="begin"/>
        </w:r>
        <w:r>
          <w:instrText>PAGE   \* MERGEFORMAT</w:instrText>
        </w:r>
        <w:r>
          <w:fldChar w:fldCharType="separate"/>
        </w:r>
        <w:r w:rsidR="00FA4826">
          <w:rPr>
            <w:noProof/>
          </w:rPr>
          <w:t>63</w:t>
        </w:r>
        <w:r>
          <w:fldChar w:fldCharType="end"/>
        </w:r>
      </w:p>
    </w:sdtContent>
  </w:sdt>
  <w:p w14:paraId="3A6220E9" w14:textId="77777777" w:rsidR="00C93774" w:rsidRDefault="00C9377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958721"/>
      <w:docPartObj>
        <w:docPartGallery w:val="Page Numbers (Bottom of Page)"/>
        <w:docPartUnique/>
      </w:docPartObj>
    </w:sdtPr>
    <w:sdtEndPr/>
    <w:sdtContent>
      <w:p w14:paraId="276CD2D0" w14:textId="7A3C4C24" w:rsidR="00023907" w:rsidRDefault="00023907">
        <w:pPr>
          <w:pStyle w:val="Pidipagina"/>
          <w:jc w:val="right"/>
        </w:pPr>
        <w:r>
          <w:fldChar w:fldCharType="begin"/>
        </w:r>
        <w:r>
          <w:instrText>PAGE   \* MERGEFORMAT</w:instrText>
        </w:r>
        <w:r>
          <w:fldChar w:fldCharType="separate"/>
        </w:r>
        <w:r w:rsidR="00FA4826">
          <w:rPr>
            <w:noProof/>
          </w:rPr>
          <w:t>65</w:t>
        </w:r>
        <w:r>
          <w:fldChar w:fldCharType="end"/>
        </w:r>
      </w:p>
    </w:sdtContent>
  </w:sdt>
  <w:p w14:paraId="6911ACD1" w14:textId="77777777" w:rsidR="00C93774" w:rsidRDefault="00C9377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7C2DB" w14:textId="77777777" w:rsidR="003340BE" w:rsidRDefault="003340BE" w:rsidP="00FD0F74">
      <w:pPr>
        <w:spacing w:after="0" w:line="240" w:lineRule="auto"/>
      </w:pPr>
      <w:r>
        <w:separator/>
      </w:r>
    </w:p>
  </w:footnote>
  <w:footnote w:type="continuationSeparator" w:id="0">
    <w:p w14:paraId="4DBB4E75" w14:textId="77777777" w:rsidR="003340BE" w:rsidRDefault="003340BE" w:rsidP="00FD0F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79A"/>
    <w:multiLevelType w:val="hybridMultilevel"/>
    <w:tmpl w:val="6254BE2A"/>
    <w:lvl w:ilvl="0" w:tplc="04100001">
      <w:start w:val="1"/>
      <w:numFmt w:val="bullet"/>
      <w:lvlText w:val=""/>
      <w:lvlJc w:val="left"/>
      <w:pPr>
        <w:ind w:left="643" w:hanging="360"/>
      </w:pPr>
      <w:rPr>
        <w:rFonts w:ascii="Symbol" w:hAnsi="Symbol"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1" w15:restartNumberingAfterBreak="0">
    <w:nsid w:val="05872A23"/>
    <w:multiLevelType w:val="hybridMultilevel"/>
    <w:tmpl w:val="71541DB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6440481"/>
    <w:multiLevelType w:val="hybridMultilevel"/>
    <w:tmpl w:val="D3200C0A"/>
    <w:lvl w:ilvl="0" w:tplc="3EF6B5B2">
      <w:start w:val="1"/>
      <w:numFmt w:val="bullet"/>
      <w:lvlText w:val=""/>
      <w:lvlJc w:val="left"/>
      <w:pPr>
        <w:tabs>
          <w:tab w:val="num" w:pos="720"/>
        </w:tabs>
        <w:ind w:left="720" w:hanging="360"/>
      </w:pPr>
      <w:rPr>
        <w:rFonts w:ascii="Symbol" w:hAnsi="Symbol" w:hint="default"/>
        <w:sz w:val="20"/>
      </w:rPr>
    </w:lvl>
    <w:lvl w:ilvl="1" w:tplc="EBF2400C" w:tentative="1">
      <w:start w:val="1"/>
      <w:numFmt w:val="bullet"/>
      <w:lvlText w:val="o"/>
      <w:lvlJc w:val="left"/>
      <w:pPr>
        <w:tabs>
          <w:tab w:val="num" w:pos="1440"/>
        </w:tabs>
        <w:ind w:left="1440" w:hanging="360"/>
      </w:pPr>
      <w:rPr>
        <w:rFonts w:ascii="Courier New" w:hAnsi="Courier New" w:hint="default"/>
        <w:sz w:val="20"/>
      </w:rPr>
    </w:lvl>
    <w:lvl w:ilvl="2" w:tplc="5B58AECA" w:tentative="1">
      <w:start w:val="1"/>
      <w:numFmt w:val="bullet"/>
      <w:lvlText w:val=""/>
      <w:lvlJc w:val="left"/>
      <w:pPr>
        <w:tabs>
          <w:tab w:val="num" w:pos="2160"/>
        </w:tabs>
        <w:ind w:left="2160" w:hanging="360"/>
      </w:pPr>
      <w:rPr>
        <w:rFonts w:ascii="Wingdings" w:hAnsi="Wingdings" w:hint="default"/>
        <w:sz w:val="20"/>
      </w:rPr>
    </w:lvl>
    <w:lvl w:ilvl="3" w:tplc="FFAC2BA2" w:tentative="1">
      <w:start w:val="1"/>
      <w:numFmt w:val="bullet"/>
      <w:lvlText w:val=""/>
      <w:lvlJc w:val="left"/>
      <w:pPr>
        <w:tabs>
          <w:tab w:val="num" w:pos="2880"/>
        </w:tabs>
        <w:ind w:left="2880" w:hanging="360"/>
      </w:pPr>
      <w:rPr>
        <w:rFonts w:ascii="Wingdings" w:hAnsi="Wingdings" w:hint="default"/>
        <w:sz w:val="20"/>
      </w:rPr>
    </w:lvl>
    <w:lvl w:ilvl="4" w:tplc="3E92EB28" w:tentative="1">
      <w:start w:val="1"/>
      <w:numFmt w:val="bullet"/>
      <w:lvlText w:val=""/>
      <w:lvlJc w:val="left"/>
      <w:pPr>
        <w:tabs>
          <w:tab w:val="num" w:pos="3600"/>
        </w:tabs>
        <w:ind w:left="3600" w:hanging="360"/>
      </w:pPr>
      <w:rPr>
        <w:rFonts w:ascii="Wingdings" w:hAnsi="Wingdings" w:hint="default"/>
        <w:sz w:val="20"/>
      </w:rPr>
    </w:lvl>
    <w:lvl w:ilvl="5" w:tplc="049ADD4A" w:tentative="1">
      <w:start w:val="1"/>
      <w:numFmt w:val="bullet"/>
      <w:lvlText w:val=""/>
      <w:lvlJc w:val="left"/>
      <w:pPr>
        <w:tabs>
          <w:tab w:val="num" w:pos="4320"/>
        </w:tabs>
        <w:ind w:left="4320" w:hanging="360"/>
      </w:pPr>
      <w:rPr>
        <w:rFonts w:ascii="Wingdings" w:hAnsi="Wingdings" w:hint="default"/>
        <w:sz w:val="20"/>
      </w:rPr>
    </w:lvl>
    <w:lvl w:ilvl="6" w:tplc="F7401B9C" w:tentative="1">
      <w:start w:val="1"/>
      <w:numFmt w:val="bullet"/>
      <w:lvlText w:val=""/>
      <w:lvlJc w:val="left"/>
      <w:pPr>
        <w:tabs>
          <w:tab w:val="num" w:pos="5040"/>
        </w:tabs>
        <w:ind w:left="5040" w:hanging="360"/>
      </w:pPr>
      <w:rPr>
        <w:rFonts w:ascii="Wingdings" w:hAnsi="Wingdings" w:hint="default"/>
        <w:sz w:val="20"/>
      </w:rPr>
    </w:lvl>
    <w:lvl w:ilvl="7" w:tplc="6F42C28A" w:tentative="1">
      <w:start w:val="1"/>
      <w:numFmt w:val="bullet"/>
      <w:lvlText w:val=""/>
      <w:lvlJc w:val="left"/>
      <w:pPr>
        <w:tabs>
          <w:tab w:val="num" w:pos="5760"/>
        </w:tabs>
        <w:ind w:left="5760" w:hanging="360"/>
      </w:pPr>
      <w:rPr>
        <w:rFonts w:ascii="Wingdings" w:hAnsi="Wingdings" w:hint="default"/>
        <w:sz w:val="20"/>
      </w:rPr>
    </w:lvl>
    <w:lvl w:ilvl="8" w:tplc="9E1032F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E2AF7"/>
    <w:multiLevelType w:val="hybridMultilevel"/>
    <w:tmpl w:val="18105E46"/>
    <w:lvl w:ilvl="0" w:tplc="1F50AF90">
      <w:start w:val="1"/>
      <w:numFmt w:val="bullet"/>
      <w:lvlText w:val=""/>
      <w:lvlJc w:val="left"/>
      <w:pPr>
        <w:tabs>
          <w:tab w:val="num" w:pos="720"/>
        </w:tabs>
        <w:ind w:left="720" w:hanging="360"/>
      </w:pPr>
      <w:rPr>
        <w:rFonts w:ascii="Symbol" w:hAnsi="Symbol" w:hint="default"/>
        <w:sz w:val="20"/>
      </w:rPr>
    </w:lvl>
    <w:lvl w:ilvl="1" w:tplc="BBE03AD4" w:tentative="1">
      <w:start w:val="1"/>
      <w:numFmt w:val="bullet"/>
      <w:lvlText w:val="o"/>
      <w:lvlJc w:val="left"/>
      <w:pPr>
        <w:tabs>
          <w:tab w:val="num" w:pos="1440"/>
        </w:tabs>
        <w:ind w:left="1440" w:hanging="360"/>
      </w:pPr>
      <w:rPr>
        <w:rFonts w:ascii="Courier New" w:hAnsi="Courier New" w:hint="default"/>
        <w:sz w:val="20"/>
      </w:rPr>
    </w:lvl>
    <w:lvl w:ilvl="2" w:tplc="505420D6" w:tentative="1">
      <w:start w:val="1"/>
      <w:numFmt w:val="bullet"/>
      <w:lvlText w:val=""/>
      <w:lvlJc w:val="left"/>
      <w:pPr>
        <w:tabs>
          <w:tab w:val="num" w:pos="2160"/>
        </w:tabs>
        <w:ind w:left="2160" w:hanging="360"/>
      </w:pPr>
      <w:rPr>
        <w:rFonts w:ascii="Wingdings" w:hAnsi="Wingdings" w:hint="default"/>
        <w:sz w:val="20"/>
      </w:rPr>
    </w:lvl>
    <w:lvl w:ilvl="3" w:tplc="01F8D110" w:tentative="1">
      <w:start w:val="1"/>
      <w:numFmt w:val="bullet"/>
      <w:lvlText w:val=""/>
      <w:lvlJc w:val="left"/>
      <w:pPr>
        <w:tabs>
          <w:tab w:val="num" w:pos="2880"/>
        </w:tabs>
        <w:ind w:left="2880" w:hanging="360"/>
      </w:pPr>
      <w:rPr>
        <w:rFonts w:ascii="Wingdings" w:hAnsi="Wingdings" w:hint="default"/>
        <w:sz w:val="20"/>
      </w:rPr>
    </w:lvl>
    <w:lvl w:ilvl="4" w:tplc="E402DBBC" w:tentative="1">
      <w:start w:val="1"/>
      <w:numFmt w:val="bullet"/>
      <w:lvlText w:val=""/>
      <w:lvlJc w:val="left"/>
      <w:pPr>
        <w:tabs>
          <w:tab w:val="num" w:pos="3600"/>
        </w:tabs>
        <w:ind w:left="3600" w:hanging="360"/>
      </w:pPr>
      <w:rPr>
        <w:rFonts w:ascii="Wingdings" w:hAnsi="Wingdings" w:hint="default"/>
        <w:sz w:val="20"/>
      </w:rPr>
    </w:lvl>
    <w:lvl w:ilvl="5" w:tplc="42E6FFAC" w:tentative="1">
      <w:start w:val="1"/>
      <w:numFmt w:val="bullet"/>
      <w:lvlText w:val=""/>
      <w:lvlJc w:val="left"/>
      <w:pPr>
        <w:tabs>
          <w:tab w:val="num" w:pos="4320"/>
        </w:tabs>
        <w:ind w:left="4320" w:hanging="360"/>
      </w:pPr>
      <w:rPr>
        <w:rFonts w:ascii="Wingdings" w:hAnsi="Wingdings" w:hint="default"/>
        <w:sz w:val="20"/>
      </w:rPr>
    </w:lvl>
    <w:lvl w:ilvl="6" w:tplc="167E58FA" w:tentative="1">
      <w:start w:val="1"/>
      <w:numFmt w:val="bullet"/>
      <w:lvlText w:val=""/>
      <w:lvlJc w:val="left"/>
      <w:pPr>
        <w:tabs>
          <w:tab w:val="num" w:pos="5040"/>
        </w:tabs>
        <w:ind w:left="5040" w:hanging="360"/>
      </w:pPr>
      <w:rPr>
        <w:rFonts w:ascii="Wingdings" w:hAnsi="Wingdings" w:hint="default"/>
        <w:sz w:val="20"/>
      </w:rPr>
    </w:lvl>
    <w:lvl w:ilvl="7" w:tplc="F7C86A42" w:tentative="1">
      <w:start w:val="1"/>
      <w:numFmt w:val="bullet"/>
      <w:lvlText w:val=""/>
      <w:lvlJc w:val="left"/>
      <w:pPr>
        <w:tabs>
          <w:tab w:val="num" w:pos="5760"/>
        </w:tabs>
        <w:ind w:left="5760" w:hanging="360"/>
      </w:pPr>
      <w:rPr>
        <w:rFonts w:ascii="Wingdings" w:hAnsi="Wingdings" w:hint="default"/>
        <w:sz w:val="20"/>
      </w:rPr>
    </w:lvl>
    <w:lvl w:ilvl="8" w:tplc="E440F35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31528"/>
    <w:multiLevelType w:val="hybridMultilevel"/>
    <w:tmpl w:val="C6DEADE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441645"/>
    <w:multiLevelType w:val="multilevel"/>
    <w:tmpl w:val="2570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F450E"/>
    <w:multiLevelType w:val="hybridMultilevel"/>
    <w:tmpl w:val="F4669B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4C4D2E"/>
    <w:multiLevelType w:val="hybridMultilevel"/>
    <w:tmpl w:val="60946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9EC2F37"/>
    <w:multiLevelType w:val="multilevel"/>
    <w:tmpl w:val="1F4E742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A5502"/>
    <w:multiLevelType w:val="hybridMultilevel"/>
    <w:tmpl w:val="BE04563E"/>
    <w:lvl w:ilvl="0" w:tplc="0D0000E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D9339EC"/>
    <w:multiLevelType w:val="hybridMultilevel"/>
    <w:tmpl w:val="BC82515E"/>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1" w15:restartNumberingAfterBreak="0">
    <w:nsid w:val="208F48FB"/>
    <w:multiLevelType w:val="hybridMultilevel"/>
    <w:tmpl w:val="23ACC87E"/>
    <w:lvl w:ilvl="0" w:tplc="5CC4658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20C6677"/>
    <w:multiLevelType w:val="hybridMultilevel"/>
    <w:tmpl w:val="C2003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7071FC"/>
    <w:multiLevelType w:val="hybridMultilevel"/>
    <w:tmpl w:val="0FEC5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A30BF0"/>
    <w:multiLevelType w:val="hybridMultilevel"/>
    <w:tmpl w:val="4EEE69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E56C70"/>
    <w:multiLevelType w:val="hybridMultilevel"/>
    <w:tmpl w:val="CBF278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277F6C3B"/>
    <w:multiLevelType w:val="hybridMultilevel"/>
    <w:tmpl w:val="B8CCE690"/>
    <w:lvl w:ilvl="0" w:tplc="BCAA5D46">
      <w:start w:val="1"/>
      <w:numFmt w:val="bullet"/>
      <w:lvlText w:val=""/>
      <w:lvlJc w:val="left"/>
      <w:pPr>
        <w:tabs>
          <w:tab w:val="num" w:pos="720"/>
        </w:tabs>
        <w:ind w:left="720" w:hanging="360"/>
      </w:pPr>
      <w:rPr>
        <w:rFonts w:ascii="Symbol" w:hAnsi="Symbol" w:hint="default"/>
        <w:sz w:val="20"/>
      </w:rPr>
    </w:lvl>
    <w:lvl w:ilvl="1" w:tplc="A8A6794C" w:tentative="1">
      <w:start w:val="1"/>
      <w:numFmt w:val="bullet"/>
      <w:lvlText w:val="o"/>
      <w:lvlJc w:val="left"/>
      <w:pPr>
        <w:tabs>
          <w:tab w:val="num" w:pos="1440"/>
        </w:tabs>
        <w:ind w:left="1440" w:hanging="360"/>
      </w:pPr>
      <w:rPr>
        <w:rFonts w:ascii="Courier New" w:hAnsi="Courier New" w:hint="default"/>
        <w:sz w:val="20"/>
      </w:rPr>
    </w:lvl>
    <w:lvl w:ilvl="2" w:tplc="B4E2D9FA" w:tentative="1">
      <w:start w:val="1"/>
      <w:numFmt w:val="bullet"/>
      <w:lvlText w:val=""/>
      <w:lvlJc w:val="left"/>
      <w:pPr>
        <w:tabs>
          <w:tab w:val="num" w:pos="2160"/>
        </w:tabs>
        <w:ind w:left="2160" w:hanging="360"/>
      </w:pPr>
      <w:rPr>
        <w:rFonts w:ascii="Wingdings" w:hAnsi="Wingdings" w:hint="default"/>
        <w:sz w:val="20"/>
      </w:rPr>
    </w:lvl>
    <w:lvl w:ilvl="3" w:tplc="FAC2927E" w:tentative="1">
      <w:start w:val="1"/>
      <w:numFmt w:val="bullet"/>
      <w:lvlText w:val=""/>
      <w:lvlJc w:val="left"/>
      <w:pPr>
        <w:tabs>
          <w:tab w:val="num" w:pos="2880"/>
        </w:tabs>
        <w:ind w:left="2880" w:hanging="360"/>
      </w:pPr>
      <w:rPr>
        <w:rFonts w:ascii="Wingdings" w:hAnsi="Wingdings" w:hint="default"/>
        <w:sz w:val="20"/>
      </w:rPr>
    </w:lvl>
    <w:lvl w:ilvl="4" w:tplc="7410E35C" w:tentative="1">
      <w:start w:val="1"/>
      <w:numFmt w:val="bullet"/>
      <w:lvlText w:val=""/>
      <w:lvlJc w:val="left"/>
      <w:pPr>
        <w:tabs>
          <w:tab w:val="num" w:pos="3600"/>
        </w:tabs>
        <w:ind w:left="3600" w:hanging="360"/>
      </w:pPr>
      <w:rPr>
        <w:rFonts w:ascii="Wingdings" w:hAnsi="Wingdings" w:hint="default"/>
        <w:sz w:val="20"/>
      </w:rPr>
    </w:lvl>
    <w:lvl w:ilvl="5" w:tplc="040A607A" w:tentative="1">
      <w:start w:val="1"/>
      <w:numFmt w:val="bullet"/>
      <w:lvlText w:val=""/>
      <w:lvlJc w:val="left"/>
      <w:pPr>
        <w:tabs>
          <w:tab w:val="num" w:pos="4320"/>
        </w:tabs>
        <w:ind w:left="4320" w:hanging="360"/>
      </w:pPr>
      <w:rPr>
        <w:rFonts w:ascii="Wingdings" w:hAnsi="Wingdings" w:hint="default"/>
        <w:sz w:val="20"/>
      </w:rPr>
    </w:lvl>
    <w:lvl w:ilvl="6" w:tplc="A77EF642" w:tentative="1">
      <w:start w:val="1"/>
      <w:numFmt w:val="bullet"/>
      <w:lvlText w:val=""/>
      <w:lvlJc w:val="left"/>
      <w:pPr>
        <w:tabs>
          <w:tab w:val="num" w:pos="5040"/>
        </w:tabs>
        <w:ind w:left="5040" w:hanging="360"/>
      </w:pPr>
      <w:rPr>
        <w:rFonts w:ascii="Wingdings" w:hAnsi="Wingdings" w:hint="default"/>
        <w:sz w:val="20"/>
      </w:rPr>
    </w:lvl>
    <w:lvl w:ilvl="7" w:tplc="F988A272" w:tentative="1">
      <w:start w:val="1"/>
      <w:numFmt w:val="bullet"/>
      <w:lvlText w:val=""/>
      <w:lvlJc w:val="left"/>
      <w:pPr>
        <w:tabs>
          <w:tab w:val="num" w:pos="5760"/>
        </w:tabs>
        <w:ind w:left="5760" w:hanging="360"/>
      </w:pPr>
      <w:rPr>
        <w:rFonts w:ascii="Wingdings" w:hAnsi="Wingdings" w:hint="default"/>
        <w:sz w:val="20"/>
      </w:rPr>
    </w:lvl>
    <w:lvl w:ilvl="8" w:tplc="5EE275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9858BD"/>
    <w:multiLevelType w:val="hybridMultilevel"/>
    <w:tmpl w:val="3A7033D6"/>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8" w15:restartNumberingAfterBreak="0">
    <w:nsid w:val="3C9C7B94"/>
    <w:multiLevelType w:val="hybridMultilevel"/>
    <w:tmpl w:val="58BA49F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D5C4374"/>
    <w:multiLevelType w:val="hybridMultilevel"/>
    <w:tmpl w:val="E78212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111E97"/>
    <w:multiLevelType w:val="hybridMultilevel"/>
    <w:tmpl w:val="7396BD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7B1305"/>
    <w:multiLevelType w:val="hybridMultilevel"/>
    <w:tmpl w:val="6B0E8DE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3D87767"/>
    <w:multiLevelType w:val="hybridMultilevel"/>
    <w:tmpl w:val="F9F85FE0"/>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3" w15:restartNumberingAfterBreak="0">
    <w:nsid w:val="44011768"/>
    <w:multiLevelType w:val="hybridMultilevel"/>
    <w:tmpl w:val="4BE8526C"/>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4" w15:restartNumberingAfterBreak="0">
    <w:nsid w:val="46266B72"/>
    <w:multiLevelType w:val="hybridMultilevel"/>
    <w:tmpl w:val="9670C1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B042AC9"/>
    <w:multiLevelType w:val="hybridMultilevel"/>
    <w:tmpl w:val="543AC492"/>
    <w:lvl w:ilvl="0" w:tplc="63D2E14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1211E4F"/>
    <w:multiLevelType w:val="hybridMultilevel"/>
    <w:tmpl w:val="FCE8036E"/>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7" w15:restartNumberingAfterBreak="0">
    <w:nsid w:val="52D614B8"/>
    <w:multiLevelType w:val="multilevel"/>
    <w:tmpl w:val="330C9B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5C07207"/>
    <w:multiLevelType w:val="multilevel"/>
    <w:tmpl w:val="330C9B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78D0327"/>
    <w:multiLevelType w:val="hybridMultilevel"/>
    <w:tmpl w:val="973A14F8"/>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0" w15:restartNumberingAfterBreak="0">
    <w:nsid w:val="57953D76"/>
    <w:multiLevelType w:val="hybridMultilevel"/>
    <w:tmpl w:val="136EA066"/>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1" w15:restartNumberingAfterBreak="0">
    <w:nsid w:val="58672869"/>
    <w:multiLevelType w:val="multilevel"/>
    <w:tmpl w:val="01FED34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A2920C8"/>
    <w:multiLevelType w:val="hybridMultilevel"/>
    <w:tmpl w:val="1A626F86"/>
    <w:lvl w:ilvl="0" w:tplc="07940E3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A5C4EA8"/>
    <w:multiLevelType w:val="hybridMultilevel"/>
    <w:tmpl w:val="44F03258"/>
    <w:lvl w:ilvl="0" w:tplc="F33CD77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5BE93236"/>
    <w:multiLevelType w:val="hybridMultilevel"/>
    <w:tmpl w:val="B0D438B0"/>
    <w:lvl w:ilvl="0" w:tplc="452C2500">
      <w:start w:val="1"/>
      <w:numFmt w:val="bullet"/>
      <w:lvlText w:val=""/>
      <w:lvlJc w:val="left"/>
      <w:pPr>
        <w:tabs>
          <w:tab w:val="num" w:pos="720"/>
        </w:tabs>
        <w:ind w:left="720" w:hanging="360"/>
      </w:pPr>
      <w:rPr>
        <w:rFonts w:ascii="Symbol" w:hAnsi="Symbol" w:hint="default"/>
        <w:sz w:val="20"/>
      </w:rPr>
    </w:lvl>
    <w:lvl w:ilvl="1" w:tplc="F7562120" w:tentative="1">
      <w:start w:val="1"/>
      <w:numFmt w:val="bullet"/>
      <w:lvlText w:val="o"/>
      <w:lvlJc w:val="left"/>
      <w:pPr>
        <w:tabs>
          <w:tab w:val="num" w:pos="1440"/>
        </w:tabs>
        <w:ind w:left="1440" w:hanging="360"/>
      </w:pPr>
      <w:rPr>
        <w:rFonts w:ascii="Courier New" w:hAnsi="Courier New" w:hint="default"/>
        <w:sz w:val="20"/>
      </w:rPr>
    </w:lvl>
    <w:lvl w:ilvl="2" w:tplc="0B4A5570" w:tentative="1">
      <w:start w:val="1"/>
      <w:numFmt w:val="bullet"/>
      <w:lvlText w:val=""/>
      <w:lvlJc w:val="left"/>
      <w:pPr>
        <w:tabs>
          <w:tab w:val="num" w:pos="2160"/>
        </w:tabs>
        <w:ind w:left="2160" w:hanging="360"/>
      </w:pPr>
      <w:rPr>
        <w:rFonts w:ascii="Wingdings" w:hAnsi="Wingdings" w:hint="default"/>
        <w:sz w:val="20"/>
      </w:rPr>
    </w:lvl>
    <w:lvl w:ilvl="3" w:tplc="2C7ACB9C" w:tentative="1">
      <w:start w:val="1"/>
      <w:numFmt w:val="bullet"/>
      <w:lvlText w:val=""/>
      <w:lvlJc w:val="left"/>
      <w:pPr>
        <w:tabs>
          <w:tab w:val="num" w:pos="2880"/>
        </w:tabs>
        <w:ind w:left="2880" w:hanging="360"/>
      </w:pPr>
      <w:rPr>
        <w:rFonts w:ascii="Wingdings" w:hAnsi="Wingdings" w:hint="default"/>
        <w:sz w:val="20"/>
      </w:rPr>
    </w:lvl>
    <w:lvl w:ilvl="4" w:tplc="AF40CE2E" w:tentative="1">
      <w:start w:val="1"/>
      <w:numFmt w:val="bullet"/>
      <w:lvlText w:val=""/>
      <w:lvlJc w:val="left"/>
      <w:pPr>
        <w:tabs>
          <w:tab w:val="num" w:pos="3600"/>
        </w:tabs>
        <w:ind w:left="3600" w:hanging="360"/>
      </w:pPr>
      <w:rPr>
        <w:rFonts w:ascii="Wingdings" w:hAnsi="Wingdings" w:hint="default"/>
        <w:sz w:val="20"/>
      </w:rPr>
    </w:lvl>
    <w:lvl w:ilvl="5" w:tplc="2F8EA67E" w:tentative="1">
      <w:start w:val="1"/>
      <w:numFmt w:val="bullet"/>
      <w:lvlText w:val=""/>
      <w:lvlJc w:val="left"/>
      <w:pPr>
        <w:tabs>
          <w:tab w:val="num" w:pos="4320"/>
        </w:tabs>
        <w:ind w:left="4320" w:hanging="360"/>
      </w:pPr>
      <w:rPr>
        <w:rFonts w:ascii="Wingdings" w:hAnsi="Wingdings" w:hint="default"/>
        <w:sz w:val="20"/>
      </w:rPr>
    </w:lvl>
    <w:lvl w:ilvl="6" w:tplc="AB38ED38" w:tentative="1">
      <w:start w:val="1"/>
      <w:numFmt w:val="bullet"/>
      <w:lvlText w:val=""/>
      <w:lvlJc w:val="left"/>
      <w:pPr>
        <w:tabs>
          <w:tab w:val="num" w:pos="5040"/>
        </w:tabs>
        <w:ind w:left="5040" w:hanging="360"/>
      </w:pPr>
      <w:rPr>
        <w:rFonts w:ascii="Wingdings" w:hAnsi="Wingdings" w:hint="default"/>
        <w:sz w:val="20"/>
      </w:rPr>
    </w:lvl>
    <w:lvl w:ilvl="7" w:tplc="27926502" w:tentative="1">
      <w:start w:val="1"/>
      <w:numFmt w:val="bullet"/>
      <w:lvlText w:val=""/>
      <w:lvlJc w:val="left"/>
      <w:pPr>
        <w:tabs>
          <w:tab w:val="num" w:pos="5760"/>
        </w:tabs>
        <w:ind w:left="5760" w:hanging="360"/>
      </w:pPr>
      <w:rPr>
        <w:rFonts w:ascii="Wingdings" w:hAnsi="Wingdings" w:hint="default"/>
        <w:sz w:val="20"/>
      </w:rPr>
    </w:lvl>
    <w:lvl w:ilvl="8" w:tplc="9E06EA5C"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2F11A2"/>
    <w:multiLevelType w:val="hybridMultilevel"/>
    <w:tmpl w:val="4CA6F2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D611520"/>
    <w:multiLevelType w:val="hybridMultilevel"/>
    <w:tmpl w:val="6B3EA090"/>
    <w:lvl w:ilvl="0" w:tplc="4246F516">
      <w:start w:val="1"/>
      <w:numFmt w:val="bullet"/>
      <w:lvlText w:val=""/>
      <w:lvlJc w:val="left"/>
      <w:pPr>
        <w:tabs>
          <w:tab w:val="num" w:pos="720"/>
        </w:tabs>
        <w:ind w:left="720" w:hanging="360"/>
      </w:pPr>
      <w:rPr>
        <w:rFonts w:ascii="Symbol" w:hAnsi="Symbol" w:hint="default"/>
        <w:sz w:val="20"/>
      </w:rPr>
    </w:lvl>
    <w:lvl w:ilvl="1" w:tplc="31B41270">
      <w:start w:val="1"/>
      <w:numFmt w:val="bullet"/>
      <w:lvlText w:val="-"/>
      <w:lvlJc w:val="left"/>
      <w:pPr>
        <w:tabs>
          <w:tab w:val="num" w:pos="1440"/>
        </w:tabs>
        <w:ind w:left="1440" w:hanging="360"/>
      </w:pPr>
      <w:rPr>
        <w:rFonts w:ascii="Times New Roman" w:eastAsia="Times New Roman" w:hAnsi="Times New Roman" w:cs="Times New Roman" w:hint="default"/>
      </w:rPr>
    </w:lvl>
    <w:lvl w:ilvl="2" w:tplc="7160E0D8" w:tentative="1">
      <w:start w:val="1"/>
      <w:numFmt w:val="bullet"/>
      <w:lvlText w:val=""/>
      <w:lvlJc w:val="left"/>
      <w:pPr>
        <w:tabs>
          <w:tab w:val="num" w:pos="2160"/>
        </w:tabs>
        <w:ind w:left="2160" w:hanging="360"/>
      </w:pPr>
      <w:rPr>
        <w:rFonts w:ascii="Wingdings" w:hAnsi="Wingdings" w:hint="default"/>
        <w:sz w:val="20"/>
      </w:rPr>
    </w:lvl>
    <w:lvl w:ilvl="3" w:tplc="6C54458A" w:tentative="1">
      <w:start w:val="1"/>
      <w:numFmt w:val="bullet"/>
      <w:lvlText w:val=""/>
      <w:lvlJc w:val="left"/>
      <w:pPr>
        <w:tabs>
          <w:tab w:val="num" w:pos="2880"/>
        </w:tabs>
        <w:ind w:left="2880" w:hanging="360"/>
      </w:pPr>
      <w:rPr>
        <w:rFonts w:ascii="Wingdings" w:hAnsi="Wingdings" w:hint="default"/>
        <w:sz w:val="20"/>
      </w:rPr>
    </w:lvl>
    <w:lvl w:ilvl="4" w:tplc="0EF2C778" w:tentative="1">
      <w:start w:val="1"/>
      <w:numFmt w:val="bullet"/>
      <w:lvlText w:val=""/>
      <w:lvlJc w:val="left"/>
      <w:pPr>
        <w:tabs>
          <w:tab w:val="num" w:pos="3600"/>
        </w:tabs>
        <w:ind w:left="3600" w:hanging="360"/>
      </w:pPr>
      <w:rPr>
        <w:rFonts w:ascii="Wingdings" w:hAnsi="Wingdings" w:hint="default"/>
        <w:sz w:val="20"/>
      </w:rPr>
    </w:lvl>
    <w:lvl w:ilvl="5" w:tplc="022A4E34" w:tentative="1">
      <w:start w:val="1"/>
      <w:numFmt w:val="bullet"/>
      <w:lvlText w:val=""/>
      <w:lvlJc w:val="left"/>
      <w:pPr>
        <w:tabs>
          <w:tab w:val="num" w:pos="4320"/>
        </w:tabs>
        <w:ind w:left="4320" w:hanging="360"/>
      </w:pPr>
      <w:rPr>
        <w:rFonts w:ascii="Wingdings" w:hAnsi="Wingdings" w:hint="default"/>
        <w:sz w:val="20"/>
      </w:rPr>
    </w:lvl>
    <w:lvl w:ilvl="6" w:tplc="899EEB7C" w:tentative="1">
      <w:start w:val="1"/>
      <w:numFmt w:val="bullet"/>
      <w:lvlText w:val=""/>
      <w:lvlJc w:val="left"/>
      <w:pPr>
        <w:tabs>
          <w:tab w:val="num" w:pos="5040"/>
        </w:tabs>
        <w:ind w:left="5040" w:hanging="360"/>
      </w:pPr>
      <w:rPr>
        <w:rFonts w:ascii="Wingdings" w:hAnsi="Wingdings" w:hint="default"/>
        <w:sz w:val="20"/>
      </w:rPr>
    </w:lvl>
    <w:lvl w:ilvl="7" w:tplc="B63E0570" w:tentative="1">
      <w:start w:val="1"/>
      <w:numFmt w:val="bullet"/>
      <w:lvlText w:val=""/>
      <w:lvlJc w:val="left"/>
      <w:pPr>
        <w:tabs>
          <w:tab w:val="num" w:pos="5760"/>
        </w:tabs>
        <w:ind w:left="5760" w:hanging="360"/>
      </w:pPr>
      <w:rPr>
        <w:rFonts w:ascii="Wingdings" w:hAnsi="Wingdings" w:hint="default"/>
        <w:sz w:val="20"/>
      </w:rPr>
    </w:lvl>
    <w:lvl w:ilvl="8" w:tplc="D986A984"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101B6B"/>
    <w:multiLevelType w:val="hybridMultilevel"/>
    <w:tmpl w:val="10A83B2E"/>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8" w15:restartNumberingAfterBreak="0">
    <w:nsid w:val="6058662B"/>
    <w:multiLevelType w:val="multilevel"/>
    <w:tmpl w:val="842AC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444376"/>
    <w:multiLevelType w:val="hybridMultilevel"/>
    <w:tmpl w:val="7B167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1C012D"/>
    <w:multiLevelType w:val="hybridMultilevel"/>
    <w:tmpl w:val="A44A3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C426C81"/>
    <w:multiLevelType w:val="hybridMultilevel"/>
    <w:tmpl w:val="E10634FE"/>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2" w15:restartNumberingAfterBreak="0">
    <w:nsid w:val="6CA7242A"/>
    <w:multiLevelType w:val="hybridMultilevel"/>
    <w:tmpl w:val="74F0B0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D023549"/>
    <w:multiLevelType w:val="multilevel"/>
    <w:tmpl w:val="DF64B820"/>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F282C38"/>
    <w:multiLevelType w:val="hybridMultilevel"/>
    <w:tmpl w:val="43E4D008"/>
    <w:lvl w:ilvl="0" w:tplc="7D2C891A">
      <w:start w:val="1"/>
      <w:numFmt w:val="bullet"/>
      <w:lvlText w:val=""/>
      <w:lvlJc w:val="left"/>
      <w:pPr>
        <w:tabs>
          <w:tab w:val="num" w:pos="720"/>
        </w:tabs>
        <w:ind w:left="720" w:hanging="360"/>
      </w:pPr>
      <w:rPr>
        <w:rFonts w:ascii="Symbol" w:hAnsi="Symbol" w:hint="default"/>
        <w:sz w:val="20"/>
      </w:rPr>
    </w:lvl>
    <w:lvl w:ilvl="1" w:tplc="4880BE80" w:tentative="1">
      <w:start w:val="1"/>
      <w:numFmt w:val="bullet"/>
      <w:lvlText w:val="o"/>
      <w:lvlJc w:val="left"/>
      <w:pPr>
        <w:tabs>
          <w:tab w:val="num" w:pos="1440"/>
        </w:tabs>
        <w:ind w:left="1440" w:hanging="360"/>
      </w:pPr>
      <w:rPr>
        <w:rFonts w:ascii="Courier New" w:hAnsi="Courier New" w:hint="default"/>
        <w:sz w:val="20"/>
      </w:rPr>
    </w:lvl>
    <w:lvl w:ilvl="2" w:tplc="D5BE54D4" w:tentative="1">
      <w:start w:val="1"/>
      <w:numFmt w:val="bullet"/>
      <w:lvlText w:val=""/>
      <w:lvlJc w:val="left"/>
      <w:pPr>
        <w:tabs>
          <w:tab w:val="num" w:pos="2160"/>
        </w:tabs>
        <w:ind w:left="2160" w:hanging="360"/>
      </w:pPr>
      <w:rPr>
        <w:rFonts w:ascii="Wingdings" w:hAnsi="Wingdings" w:hint="default"/>
        <w:sz w:val="20"/>
      </w:rPr>
    </w:lvl>
    <w:lvl w:ilvl="3" w:tplc="A6D23178" w:tentative="1">
      <w:start w:val="1"/>
      <w:numFmt w:val="bullet"/>
      <w:lvlText w:val=""/>
      <w:lvlJc w:val="left"/>
      <w:pPr>
        <w:tabs>
          <w:tab w:val="num" w:pos="2880"/>
        </w:tabs>
        <w:ind w:left="2880" w:hanging="360"/>
      </w:pPr>
      <w:rPr>
        <w:rFonts w:ascii="Wingdings" w:hAnsi="Wingdings" w:hint="default"/>
        <w:sz w:val="20"/>
      </w:rPr>
    </w:lvl>
    <w:lvl w:ilvl="4" w:tplc="1E32C998" w:tentative="1">
      <w:start w:val="1"/>
      <w:numFmt w:val="bullet"/>
      <w:lvlText w:val=""/>
      <w:lvlJc w:val="left"/>
      <w:pPr>
        <w:tabs>
          <w:tab w:val="num" w:pos="3600"/>
        </w:tabs>
        <w:ind w:left="3600" w:hanging="360"/>
      </w:pPr>
      <w:rPr>
        <w:rFonts w:ascii="Wingdings" w:hAnsi="Wingdings" w:hint="default"/>
        <w:sz w:val="20"/>
      </w:rPr>
    </w:lvl>
    <w:lvl w:ilvl="5" w:tplc="7BEA29BA" w:tentative="1">
      <w:start w:val="1"/>
      <w:numFmt w:val="bullet"/>
      <w:lvlText w:val=""/>
      <w:lvlJc w:val="left"/>
      <w:pPr>
        <w:tabs>
          <w:tab w:val="num" w:pos="4320"/>
        </w:tabs>
        <w:ind w:left="4320" w:hanging="360"/>
      </w:pPr>
      <w:rPr>
        <w:rFonts w:ascii="Wingdings" w:hAnsi="Wingdings" w:hint="default"/>
        <w:sz w:val="20"/>
      </w:rPr>
    </w:lvl>
    <w:lvl w:ilvl="6" w:tplc="4C083F0C" w:tentative="1">
      <w:start w:val="1"/>
      <w:numFmt w:val="bullet"/>
      <w:lvlText w:val=""/>
      <w:lvlJc w:val="left"/>
      <w:pPr>
        <w:tabs>
          <w:tab w:val="num" w:pos="5040"/>
        </w:tabs>
        <w:ind w:left="5040" w:hanging="360"/>
      </w:pPr>
      <w:rPr>
        <w:rFonts w:ascii="Wingdings" w:hAnsi="Wingdings" w:hint="default"/>
        <w:sz w:val="20"/>
      </w:rPr>
    </w:lvl>
    <w:lvl w:ilvl="7" w:tplc="0F0A5950" w:tentative="1">
      <w:start w:val="1"/>
      <w:numFmt w:val="bullet"/>
      <w:lvlText w:val=""/>
      <w:lvlJc w:val="left"/>
      <w:pPr>
        <w:tabs>
          <w:tab w:val="num" w:pos="5760"/>
        </w:tabs>
        <w:ind w:left="5760" w:hanging="360"/>
      </w:pPr>
      <w:rPr>
        <w:rFonts w:ascii="Wingdings" w:hAnsi="Wingdings" w:hint="default"/>
        <w:sz w:val="20"/>
      </w:rPr>
    </w:lvl>
    <w:lvl w:ilvl="8" w:tplc="E9D06A90"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9C5677"/>
    <w:multiLevelType w:val="hybridMultilevel"/>
    <w:tmpl w:val="A92C7060"/>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6" w15:restartNumberingAfterBreak="0">
    <w:nsid w:val="743C6F69"/>
    <w:multiLevelType w:val="hybridMultilevel"/>
    <w:tmpl w:val="E020C658"/>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7" w15:restartNumberingAfterBreak="0">
    <w:nsid w:val="75A047A4"/>
    <w:multiLevelType w:val="hybridMultilevel"/>
    <w:tmpl w:val="57328F6A"/>
    <w:lvl w:ilvl="0" w:tplc="7DBC06B2">
      <w:start w:val="1"/>
      <w:numFmt w:val="bullet"/>
      <w:lvlText w:val=""/>
      <w:lvlJc w:val="left"/>
      <w:pPr>
        <w:tabs>
          <w:tab w:val="num" w:pos="720"/>
        </w:tabs>
        <w:ind w:left="720" w:hanging="360"/>
      </w:pPr>
      <w:rPr>
        <w:rFonts w:ascii="Symbol" w:hAnsi="Symbol" w:hint="default"/>
        <w:sz w:val="20"/>
      </w:rPr>
    </w:lvl>
    <w:lvl w:ilvl="1" w:tplc="58D20B14" w:tentative="1">
      <w:start w:val="1"/>
      <w:numFmt w:val="bullet"/>
      <w:lvlText w:val="o"/>
      <w:lvlJc w:val="left"/>
      <w:pPr>
        <w:tabs>
          <w:tab w:val="num" w:pos="1440"/>
        </w:tabs>
        <w:ind w:left="1440" w:hanging="360"/>
      </w:pPr>
      <w:rPr>
        <w:rFonts w:ascii="Courier New" w:hAnsi="Courier New" w:hint="default"/>
        <w:sz w:val="20"/>
      </w:rPr>
    </w:lvl>
    <w:lvl w:ilvl="2" w:tplc="47029600" w:tentative="1">
      <w:start w:val="1"/>
      <w:numFmt w:val="bullet"/>
      <w:lvlText w:val=""/>
      <w:lvlJc w:val="left"/>
      <w:pPr>
        <w:tabs>
          <w:tab w:val="num" w:pos="2160"/>
        </w:tabs>
        <w:ind w:left="2160" w:hanging="360"/>
      </w:pPr>
      <w:rPr>
        <w:rFonts w:ascii="Wingdings" w:hAnsi="Wingdings" w:hint="default"/>
        <w:sz w:val="20"/>
      </w:rPr>
    </w:lvl>
    <w:lvl w:ilvl="3" w:tplc="151AFAC2" w:tentative="1">
      <w:start w:val="1"/>
      <w:numFmt w:val="bullet"/>
      <w:lvlText w:val=""/>
      <w:lvlJc w:val="left"/>
      <w:pPr>
        <w:tabs>
          <w:tab w:val="num" w:pos="2880"/>
        </w:tabs>
        <w:ind w:left="2880" w:hanging="360"/>
      </w:pPr>
      <w:rPr>
        <w:rFonts w:ascii="Wingdings" w:hAnsi="Wingdings" w:hint="default"/>
        <w:sz w:val="20"/>
      </w:rPr>
    </w:lvl>
    <w:lvl w:ilvl="4" w:tplc="8E12BB2C" w:tentative="1">
      <w:start w:val="1"/>
      <w:numFmt w:val="bullet"/>
      <w:lvlText w:val=""/>
      <w:lvlJc w:val="left"/>
      <w:pPr>
        <w:tabs>
          <w:tab w:val="num" w:pos="3600"/>
        </w:tabs>
        <w:ind w:left="3600" w:hanging="360"/>
      </w:pPr>
      <w:rPr>
        <w:rFonts w:ascii="Wingdings" w:hAnsi="Wingdings" w:hint="default"/>
        <w:sz w:val="20"/>
      </w:rPr>
    </w:lvl>
    <w:lvl w:ilvl="5" w:tplc="FF4238C8" w:tentative="1">
      <w:start w:val="1"/>
      <w:numFmt w:val="bullet"/>
      <w:lvlText w:val=""/>
      <w:lvlJc w:val="left"/>
      <w:pPr>
        <w:tabs>
          <w:tab w:val="num" w:pos="4320"/>
        </w:tabs>
        <w:ind w:left="4320" w:hanging="360"/>
      </w:pPr>
      <w:rPr>
        <w:rFonts w:ascii="Wingdings" w:hAnsi="Wingdings" w:hint="default"/>
        <w:sz w:val="20"/>
      </w:rPr>
    </w:lvl>
    <w:lvl w:ilvl="6" w:tplc="C230372E" w:tentative="1">
      <w:start w:val="1"/>
      <w:numFmt w:val="bullet"/>
      <w:lvlText w:val=""/>
      <w:lvlJc w:val="left"/>
      <w:pPr>
        <w:tabs>
          <w:tab w:val="num" w:pos="5040"/>
        </w:tabs>
        <w:ind w:left="5040" w:hanging="360"/>
      </w:pPr>
      <w:rPr>
        <w:rFonts w:ascii="Wingdings" w:hAnsi="Wingdings" w:hint="default"/>
        <w:sz w:val="20"/>
      </w:rPr>
    </w:lvl>
    <w:lvl w:ilvl="7" w:tplc="5268F6DA" w:tentative="1">
      <w:start w:val="1"/>
      <w:numFmt w:val="bullet"/>
      <w:lvlText w:val=""/>
      <w:lvlJc w:val="left"/>
      <w:pPr>
        <w:tabs>
          <w:tab w:val="num" w:pos="5760"/>
        </w:tabs>
        <w:ind w:left="5760" w:hanging="360"/>
      </w:pPr>
      <w:rPr>
        <w:rFonts w:ascii="Wingdings" w:hAnsi="Wingdings" w:hint="default"/>
        <w:sz w:val="20"/>
      </w:rPr>
    </w:lvl>
    <w:lvl w:ilvl="8" w:tplc="9496AF4E"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D452FB"/>
    <w:multiLevelType w:val="hybridMultilevel"/>
    <w:tmpl w:val="12AC8C50"/>
    <w:lvl w:ilvl="0" w:tplc="E5B012C2">
      <w:start w:val="6"/>
      <w:numFmt w:val="decimal"/>
      <w:pStyle w:val="Titolone"/>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49" w15:restartNumberingAfterBreak="0">
    <w:nsid w:val="7B1F1A59"/>
    <w:multiLevelType w:val="hybridMultilevel"/>
    <w:tmpl w:val="F2B480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8"/>
  </w:num>
  <w:num w:numId="2">
    <w:abstractNumId w:val="24"/>
  </w:num>
  <w:num w:numId="3">
    <w:abstractNumId w:val="18"/>
  </w:num>
  <w:num w:numId="4">
    <w:abstractNumId w:val="6"/>
  </w:num>
  <w:num w:numId="5">
    <w:abstractNumId w:val="21"/>
  </w:num>
  <w:num w:numId="6">
    <w:abstractNumId w:val="40"/>
  </w:num>
  <w:num w:numId="7">
    <w:abstractNumId w:val="33"/>
  </w:num>
  <w:num w:numId="8">
    <w:abstractNumId w:val="29"/>
  </w:num>
  <w:num w:numId="9">
    <w:abstractNumId w:val="22"/>
  </w:num>
  <w:num w:numId="10">
    <w:abstractNumId w:val="10"/>
  </w:num>
  <w:num w:numId="11">
    <w:abstractNumId w:val="26"/>
  </w:num>
  <w:num w:numId="12">
    <w:abstractNumId w:val="4"/>
  </w:num>
  <w:num w:numId="13">
    <w:abstractNumId w:val="17"/>
  </w:num>
  <w:num w:numId="14">
    <w:abstractNumId w:val="23"/>
  </w:num>
  <w:num w:numId="15">
    <w:abstractNumId w:val="45"/>
  </w:num>
  <w:num w:numId="16">
    <w:abstractNumId w:val="37"/>
  </w:num>
  <w:num w:numId="17">
    <w:abstractNumId w:val="46"/>
  </w:num>
  <w:num w:numId="18">
    <w:abstractNumId w:val="41"/>
  </w:num>
  <w:num w:numId="19">
    <w:abstractNumId w:val="30"/>
  </w:num>
  <w:num w:numId="20">
    <w:abstractNumId w:val="12"/>
  </w:num>
  <w:num w:numId="21">
    <w:abstractNumId w:val="49"/>
  </w:num>
  <w:num w:numId="22">
    <w:abstractNumId w:val="42"/>
  </w:num>
  <w:num w:numId="23">
    <w:abstractNumId w:val="39"/>
  </w:num>
  <w:num w:numId="24">
    <w:abstractNumId w:val="13"/>
  </w:num>
  <w:num w:numId="25">
    <w:abstractNumId w:val="7"/>
  </w:num>
  <w:num w:numId="26">
    <w:abstractNumId w:val="20"/>
  </w:num>
  <w:num w:numId="27">
    <w:abstractNumId w:val="1"/>
  </w:num>
  <w:num w:numId="28">
    <w:abstractNumId w:val="0"/>
  </w:num>
  <w:num w:numId="29">
    <w:abstractNumId w:val="19"/>
  </w:num>
  <w:num w:numId="30">
    <w:abstractNumId w:val="31"/>
  </w:num>
  <w:num w:numId="31">
    <w:abstractNumId w:val="38"/>
  </w:num>
  <w:num w:numId="32">
    <w:abstractNumId w:val="8"/>
  </w:num>
  <w:num w:numId="33">
    <w:abstractNumId w:val="5"/>
  </w:num>
  <w:num w:numId="34">
    <w:abstractNumId w:val="2"/>
  </w:num>
  <w:num w:numId="35">
    <w:abstractNumId w:val="3"/>
  </w:num>
  <w:num w:numId="36">
    <w:abstractNumId w:val="16"/>
  </w:num>
  <w:num w:numId="37">
    <w:abstractNumId w:val="44"/>
  </w:num>
  <w:num w:numId="38">
    <w:abstractNumId w:val="34"/>
  </w:num>
  <w:num w:numId="39">
    <w:abstractNumId w:val="47"/>
  </w:num>
  <w:num w:numId="40">
    <w:abstractNumId w:val="36"/>
  </w:num>
  <w:num w:numId="41">
    <w:abstractNumId w:val="35"/>
  </w:num>
  <w:num w:numId="42">
    <w:abstractNumId w:val="14"/>
  </w:num>
  <w:num w:numId="43">
    <w:abstractNumId w:val="15"/>
  </w:num>
  <w:num w:numId="44">
    <w:abstractNumId w:val="25"/>
  </w:num>
  <w:num w:numId="45">
    <w:abstractNumId w:val="9"/>
  </w:num>
  <w:num w:numId="46">
    <w:abstractNumId w:val="32"/>
  </w:num>
  <w:num w:numId="47">
    <w:abstractNumId w:val="11"/>
  </w:num>
  <w:num w:numId="48">
    <w:abstractNumId w:val="27"/>
  </w:num>
  <w:num w:numId="49">
    <w:abstractNumId w:val="28"/>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40D5"/>
    <w:rsid w:val="00011644"/>
    <w:rsid w:val="0001543C"/>
    <w:rsid w:val="000204BD"/>
    <w:rsid w:val="0002091C"/>
    <w:rsid w:val="000209EB"/>
    <w:rsid w:val="00023907"/>
    <w:rsid w:val="00024973"/>
    <w:rsid w:val="00032C31"/>
    <w:rsid w:val="00034CEE"/>
    <w:rsid w:val="00044084"/>
    <w:rsid w:val="000523B8"/>
    <w:rsid w:val="00055816"/>
    <w:rsid w:val="00057832"/>
    <w:rsid w:val="0006139F"/>
    <w:rsid w:val="000634E6"/>
    <w:rsid w:val="000709F4"/>
    <w:rsid w:val="00077D43"/>
    <w:rsid w:val="0008597A"/>
    <w:rsid w:val="00090AE6"/>
    <w:rsid w:val="000925B9"/>
    <w:rsid w:val="000A73EA"/>
    <w:rsid w:val="000A7A3E"/>
    <w:rsid w:val="000C3549"/>
    <w:rsid w:val="000D0BA6"/>
    <w:rsid w:val="000E26A0"/>
    <w:rsid w:val="000F4052"/>
    <w:rsid w:val="000F4544"/>
    <w:rsid w:val="000F4EC7"/>
    <w:rsid w:val="000F629C"/>
    <w:rsid w:val="001071A8"/>
    <w:rsid w:val="001118CA"/>
    <w:rsid w:val="00116A74"/>
    <w:rsid w:val="00117750"/>
    <w:rsid w:val="00120A02"/>
    <w:rsid w:val="00126523"/>
    <w:rsid w:val="00134692"/>
    <w:rsid w:val="00135660"/>
    <w:rsid w:val="001363DE"/>
    <w:rsid w:val="0013761D"/>
    <w:rsid w:val="00146B66"/>
    <w:rsid w:val="0015432B"/>
    <w:rsid w:val="00155AC0"/>
    <w:rsid w:val="001577B9"/>
    <w:rsid w:val="0016437B"/>
    <w:rsid w:val="001670AA"/>
    <w:rsid w:val="0016788C"/>
    <w:rsid w:val="001723F9"/>
    <w:rsid w:val="001738B6"/>
    <w:rsid w:val="00180870"/>
    <w:rsid w:val="00185E76"/>
    <w:rsid w:val="001953E4"/>
    <w:rsid w:val="001A08BD"/>
    <w:rsid w:val="001B4FCA"/>
    <w:rsid w:val="001B61EC"/>
    <w:rsid w:val="001B659C"/>
    <w:rsid w:val="001B77DA"/>
    <w:rsid w:val="001C0E1A"/>
    <w:rsid w:val="001C7F2F"/>
    <w:rsid w:val="001D28B4"/>
    <w:rsid w:val="001D3E58"/>
    <w:rsid w:val="001D6907"/>
    <w:rsid w:val="001E3743"/>
    <w:rsid w:val="001F25A6"/>
    <w:rsid w:val="001F4452"/>
    <w:rsid w:val="002044F0"/>
    <w:rsid w:val="00204C69"/>
    <w:rsid w:val="00212CA7"/>
    <w:rsid w:val="002152CB"/>
    <w:rsid w:val="0022166F"/>
    <w:rsid w:val="002255D1"/>
    <w:rsid w:val="00227063"/>
    <w:rsid w:val="002318AF"/>
    <w:rsid w:val="0023237C"/>
    <w:rsid w:val="00236034"/>
    <w:rsid w:val="0023741C"/>
    <w:rsid w:val="00247E5B"/>
    <w:rsid w:val="0026405F"/>
    <w:rsid w:val="0026637B"/>
    <w:rsid w:val="00266D48"/>
    <w:rsid w:val="00267478"/>
    <w:rsid w:val="0027310F"/>
    <w:rsid w:val="0028528D"/>
    <w:rsid w:val="0028625C"/>
    <w:rsid w:val="00287946"/>
    <w:rsid w:val="00291800"/>
    <w:rsid w:val="00294B22"/>
    <w:rsid w:val="00294EC7"/>
    <w:rsid w:val="00295932"/>
    <w:rsid w:val="00296189"/>
    <w:rsid w:val="0029623F"/>
    <w:rsid w:val="00297A57"/>
    <w:rsid w:val="002A3DBE"/>
    <w:rsid w:val="002A6404"/>
    <w:rsid w:val="002A6C91"/>
    <w:rsid w:val="002D2BAC"/>
    <w:rsid w:val="002E1729"/>
    <w:rsid w:val="002E566F"/>
    <w:rsid w:val="002F0A33"/>
    <w:rsid w:val="002F34B6"/>
    <w:rsid w:val="002F770F"/>
    <w:rsid w:val="00304728"/>
    <w:rsid w:val="00305FB0"/>
    <w:rsid w:val="00321032"/>
    <w:rsid w:val="00322151"/>
    <w:rsid w:val="00326725"/>
    <w:rsid w:val="00326F2B"/>
    <w:rsid w:val="00327154"/>
    <w:rsid w:val="00330A22"/>
    <w:rsid w:val="00331F11"/>
    <w:rsid w:val="00332C98"/>
    <w:rsid w:val="003330D6"/>
    <w:rsid w:val="00334029"/>
    <w:rsid w:val="003340BE"/>
    <w:rsid w:val="003429D5"/>
    <w:rsid w:val="00342B69"/>
    <w:rsid w:val="00345AF2"/>
    <w:rsid w:val="0034619F"/>
    <w:rsid w:val="003526DC"/>
    <w:rsid w:val="003603A5"/>
    <w:rsid w:val="00360681"/>
    <w:rsid w:val="00360AF4"/>
    <w:rsid w:val="00367805"/>
    <w:rsid w:val="003749F1"/>
    <w:rsid w:val="00380EDB"/>
    <w:rsid w:val="00381C1B"/>
    <w:rsid w:val="00387A46"/>
    <w:rsid w:val="00390781"/>
    <w:rsid w:val="00395C1A"/>
    <w:rsid w:val="003A00AC"/>
    <w:rsid w:val="003B0CED"/>
    <w:rsid w:val="003C0086"/>
    <w:rsid w:val="003D122D"/>
    <w:rsid w:val="003D252D"/>
    <w:rsid w:val="003D77B5"/>
    <w:rsid w:val="003D7D93"/>
    <w:rsid w:val="003E0D5F"/>
    <w:rsid w:val="003E3B90"/>
    <w:rsid w:val="003E42BB"/>
    <w:rsid w:val="00405862"/>
    <w:rsid w:val="00406516"/>
    <w:rsid w:val="00423897"/>
    <w:rsid w:val="0042488C"/>
    <w:rsid w:val="004258B6"/>
    <w:rsid w:val="0042691B"/>
    <w:rsid w:val="00430492"/>
    <w:rsid w:val="0043099C"/>
    <w:rsid w:val="004319B5"/>
    <w:rsid w:val="00431A84"/>
    <w:rsid w:val="00446D46"/>
    <w:rsid w:val="004500A3"/>
    <w:rsid w:val="00454783"/>
    <w:rsid w:val="00461AD7"/>
    <w:rsid w:val="00467F6A"/>
    <w:rsid w:val="00473AB6"/>
    <w:rsid w:val="00475A62"/>
    <w:rsid w:val="00476549"/>
    <w:rsid w:val="00476A4C"/>
    <w:rsid w:val="004811BC"/>
    <w:rsid w:val="00484747"/>
    <w:rsid w:val="0049545B"/>
    <w:rsid w:val="004A407E"/>
    <w:rsid w:val="004C7AB4"/>
    <w:rsid w:val="004D5A63"/>
    <w:rsid w:val="004E5E87"/>
    <w:rsid w:val="004E77C4"/>
    <w:rsid w:val="004E77F9"/>
    <w:rsid w:val="004E78FD"/>
    <w:rsid w:val="004F08FB"/>
    <w:rsid w:val="004F3B80"/>
    <w:rsid w:val="004F5F3E"/>
    <w:rsid w:val="00500569"/>
    <w:rsid w:val="00520132"/>
    <w:rsid w:val="0052799D"/>
    <w:rsid w:val="00530F91"/>
    <w:rsid w:val="00535792"/>
    <w:rsid w:val="0053661A"/>
    <w:rsid w:val="005418D6"/>
    <w:rsid w:val="00550273"/>
    <w:rsid w:val="00556454"/>
    <w:rsid w:val="00557E81"/>
    <w:rsid w:val="00560AB1"/>
    <w:rsid w:val="00562085"/>
    <w:rsid w:val="005653C8"/>
    <w:rsid w:val="00575183"/>
    <w:rsid w:val="00580896"/>
    <w:rsid w:val="00580BA1"/>
    <w:rsid w:val="00582DB0"/>
    <w:rsid w:val="00584E8B"/>
    <w:rsid w:val="0058575C"/>
    <w:rsid w:val="00587BC5"/>
    <w:rsid w:val="0059054F"/>
    <w:rsid w:val="00591679"/>
    <w:rsid w:val="00591FB0"/>
    <w:rsid w:val="005946BA"/>
    <w:rsid w:val="0059494D"/>
    <w:rsid w:val="00596EDE"/>
    <w:rsid w:val="00597D7A"/>
    <w:rsid w:val="005A6840"/>
    <w:rsid w:val="005B00A1"/>
    <w:rsid w:val="005B4A2B"/>
    <w:rsid w:val="005C000E"/>
    <w:rsid w:val="005C38BC"/>
    <w:rsid w:val="005D2AF6"/>
    <w:rsid w:val="005D727E"/>
    <w:rsid w:val="005E4031"/>
    <w:rsid w:val="005E621C"/>
    <w:rsid w:val="005E6E8B"/>
    <w:rsid w:val="005F27B7"/>
    <w:rsid w:val="005F54EF"/>
    <w:rsid w:val="00601296"/>
    <w:rsid w:val="00607F62"/>
    <w:rsid w:val="0061043A"/>
    <w:rsid w:val="006108EA"/>
    <w:rsid w:val="006146E4"/>
    <w:rsid w:val="00614D4B"/>
    <w:rsid w:val="00617610"/>
    <w:rsid w:val="00621176"/>
    <w:rsid w:val="00625EA7"/>
    <w:rsid w:val="006407AF"/>
    <w:rsid w:val="00644B33"/>
    <w:rsid w:val="00647FA2"/>
    <w:rsid w:val="00650294"/>
    <w:rsid w:val="006510C7"/>
    <w:rsid w:val="00651C15"/>
    <w:rsid w:val="0065494F"/>
    <w:rsid w:val="00657239"/>
    <w:rsid w:val="00660A3F"/>
    <w:rsid w:val="00662956"/>
    <w:rsid w:val="00666497"/>
    <w:rsid w:val="00675B45"/>
    <w:rsid w:val="00676023"/>
    <w:rsid w:val="0068315B"/>
    <w:rsid w:val="00684118"/>
    <w:rsid w:val="006855E0"/>
    <w:rsid w:val="006A64B5"/>
    <w:rsid w:val="006B00A0"/>
    <w:rsid w:val="006B11C2"/>
    <w:rsid w:val="006B1DB5"/>
    <w:rsid w:val="006B284B"/>
    <w:rsid w:val="006B5F21"/>
    <w:rsid w:val="006B6761"/>
    <w:rsid w:val="006C110C"/>
    <w:rsid w:val="006C129B"/>
    <w:rsid w:val="006C7DCC"/>
    <w:rsid w:val="006D12C4"/>
    <w:rsid w:val="006D52C0"/>
    <w:rsid w:val="006E0A8E"/>
    <w:rsid w:val="006E1B64"/>
    <w:rsid w:val="006E251D"/>
    <w:rsid w:val="006E7324"/>
    <w:rsid w:val="006F2CE0"/>
    <w:rsid w:val="006F5227"/>
    <w:rsid w:val="006F5723"/>
    <w:rsid w:val="006F6575"/>
    <w:rsid w:val="00702118"/>
    <w:rsid w:val="007103DE"/>
    <w:rsid w:val="00711F81"/>
    <w:rsid w:val="00713C94"/>
    <w:rsid w:val="0071564A"/>
    <w:rsid w:val="007220F1"/>
    <w:rsid w:val="00726781"/>
    <w:rsid w:val="00734A31"/>
    <w:rsid w:val="007475DC"/>
    <w:rsid w:val="007508F5"/>
    <w:rsid w:val="00753C5C"/>
    <w:rsid w:val="00755265"/>
    <w:rsid w:val="00760387"/>
    <w:rsid w:val="007704CF"/>
    <w:rsid w:val="0078118B"/>
    <w:rsid w:val="00782FB2"/>
    <w:rsid w:val="00785897"/>
    <w:rsid w:val="007921DE"/>
    <w:rsid w:val="0079221E"/>
    <w:rsid w:val="00794406"/>
    <w:rsid w:val="00797381"/>
    <w:rsid w:val="007A7FBC"/>
    <w:rsid w:val="007B0CE1"/>
    <w:rsid w:val="007B16E8"/>
    <w:rsid w:val="007B5917"/>
    <w:rsid w:val="007C1CB9"/>
    <w:rsid w:val="007C7B59"/>
    <w:rsid w:val="007E0CD5"/>
    <w:rsid w:val="007E23F7"/>
    <w:rsid w:val="007E2BB8"/>
    <w:rsid w:val="007E2F3E"/>
    <w:rsid w:val="007E7323"/>
    <w:rsid w:val="007F2FF4"/>
    <w:rsid w:val="007F52ED"/>
    <w:rsid w:val="007F7780"/>
    <w:rsid w:val="00806A1D"/>
    <w:rsid w:val="00807148"/>
    <w:rsid w:val="008144BD"/>
    <w:rsid w:val="0082282A"/>
    <w:rsid w:val="0082534D"/>
    <w:rsid w:val="00825A2E"/>
    <w:rsid w:val="008267EC"/>
    <w:rsid w:val="008313B5"/>
    <w:rsid w:val="00831ACD"/>
    <w:rsid w:val="0083329D"/>
    <w:rsid w:val="00834AD7"/>
    <w:rsid w:val="00855152"/>
    <w:rsid w:val="0086042E"/>
    <w:rsid w:val="00861D38"/>
    <w:rsid w:val="008634BD"/>
    <w:rsid w:val="008651F6"/>
    <w:rsid w:val="008670CA"/>
    <w:rsid w:val="00870309"/>
    <w:rsid w:val="00874B30"/>
    <w:rsid w:val="00875068"/>
    <w:rsid w:val="0087786B"/>
    <w:rsid w:val="00882180"/>
    <w:rsid w:val="0088352F"/>
    <w:rsid w:val="008911CA"/>
    <w:rsid w:val="00895C74"/>
    <w:rsid w:val="00897867"/>
    <w:rsid w:val="008A12C7"/>
    <w:rsid w:val="008A464F"/>
    <w:rsid w:val="008B18BE"/>
    <w:rsid w:val="008B731C"/>
    <w:rsid w:val="008C1A1E"/>
    <w:rsid w:val="008C3962"/>
    <w:rsid w:val="008C51D7"/>
    <w:rsid w:val="008C7AF6"/>
    <w:rsid w:val="008E0C2A"/>
    <w:rsid w:val="008F376B"/>
    <w:rsid w:val="00901989"/>
    <w:rsid w:val="00913E2B"/>
    <w:rsid w:val="0091417C"/>
    <w:rsid w:val="0093613C"/>
    <w:rsid w:val="00944526"/>
    <w:rsid w:val="009464C3"/>
    <w:rsid w:val="009520BC"/>
    <w:rsid w:val="0095234F"/>
    <w:rsid w:val="00953FFB"/>
    <w:rsid w:val="00955F3C"/>
    <w:rsid w:val="0096285A"/>
    <w:rsid w:val="0096542D"/>
    <w:rsid w:val="00974501"/>
    <w:rsid w:val="00980820"/>
    <w:rsid w:val="00986668"/>
    <w:rsid w:val="00994B5F"/>
    <w:rsid w:val="009A388C"/>
    <w:rsid w:val="009B2060"/>
    <w:rsid w:val="009B4E76"/>
    <w:rsid w:val="009C18B0"/>
    <w:rsid w:val="009C32E7"/>
    <w:rsid w:val="009C4B45"/>
    <w:rsid w:val="009C5AE6"/>
    <w:rsid w:val="009E5105"/>
    <w:rsid w:val="009F34CF"/>
    <w:rsid w:val="009F44EF"/>
    <w:rsid w:val="009F4AEF"/>
    <w:rsid w:val="00A16236"/>
    <w:rsid w:val="00A3453A"/>
    <w:rsid w:val="00A377F5"/>
    <w:rsid w:val="00A45E04"/>
    <w:rsid w:val="00A468B8"/>
    <w:rsid w:val="00A47073"/>
    <w:rsid w:val="00A501C0"/>
    <w:rsid w:val="00A5307F"/>
    <w:rsid w:val="00A5554A"/>
    <w:rsid w:val="00A67935"/>
    <w:rsid w:val="00A77199"/>
    <w:rsid w:val="00A81173"/>
    <w:rsid w:val="00A86B5A"/>
    <w:rsid w:val="00AA1A7C"/>
    <w:rsid w:val="00AB0645"/>
    <w:rsid w:val="00AB2AEB"/>
    <w:rsid w:val="00AB7130"/>
    <w:rsid w:val="00AC1AE3"/>
    <w:rsid w:val="00AD15EE"/>
    <w:rsid w:val="00AD17E7"/>
    <w:rsid w:val="00AD2722"/>
    <w:rsid w:val="00AD68B0"/>
    <w:rsid w:val="00AE6F3E"/>
    <w:rsid w:val="00AE70FA"/>
    <w:rsid w:val="00AF17BA"/>
    <w:rsid w:val="00AF2E5D"/>
    <w:rsid w:val="00AF41B8"/>
    <w:rsid w:val="00B00526"/>
    <w:rsid w:val="00B05D42"/>
    <w:rsid w:val="00B07F50"/>
    <w:rsid w:val="00B100DB"/>
    <w:rsid w:val="00B1705B"/>
    <w:rsid w:val="00B20C87"/>
    <w:rsid w:val="00B23FB5"/>
    <w:rsid w:val="00B2493E"/>
    <w:rsid w:val="00B26F2F"/>
    <w:rsid w:val="00B346A8"/>
    <w:rsid w:val="00B45FBD"/>
    <w:rsid w:val="00B529F5"/>
    <w:rsid w:val="00B53AB8"/>
    <w:rsid w:val="00B56763"/>
    <w:rsid w:val="00B56842"/>
    <w:rsid w:val="00B611A4"/>
    <w:rsid w:val="00B62601"/>
    <w:rsid w:val="00B65C1F"/>
    <w:rsid w:val="00B71586"/>
    <w:rsid w:val="00B8176F"/>
    <w:rsid w:val="00B8380A"/>
    <w:rsid w:val="00B84C81"/>
    <w:rsid w:val="00B85078"/>
    <w:rsid w:val="00B94A8E"/>
    <w:rsid w:val="00B96910"/>
    <w:rsid w:val="00BA0818"/>
    <w:rsid w:val="00BA41CF"/>
    <w:rsid w:val="00BB038D"/>
    <w:rsid w:val="00BB361B"/>
    <w:rsid w:val="00BB3D61"/>
    <w:rsid w:val="00BB6B0C"/>
    <w:rsid w:val="00BB7B23"/>
    <w:rsid w:val="00BC34D7"/>
    <w:rsid w:val="00BD4DCF"/>
    <w:rsid w:val="00BE0AF5"/>
    <w:rsid w:val="00BE2CF7"/>
    <w:rsid w:val="00BE67E5"/>
    <w:rsid w:val="00BF1451"/>
    <w:rsid w:val="00BF3DD6"/>
    <w:rsid w:val="00BF4364"/>
    <w:rsid w:val="00BF7227"/>
    <w:rsid w:val="00C005D5"/>
    <w:rsid w:val="00C03360"/>
    <w:rsid w:val="00C07866"/>
    <w:rsid w:val="00C13600"/>
    <w:rsid w:val="00C16996"/>
    <w:rsid w:val="00C21AF9"/>
    <w:rsid w:val="00C25BDF"/>
    <w:rsid w:val="00C31725"/>
    <w:rsid w:val="00C318D7"/>
    <w:rsid w:val="00C41B3B"/>
    <w:rsid w:val="00C64403"/>
    <w:rsid w:val="00C64B1A"/>
    <w:rsid w:val="00C7397B"/>
    <w:rsid w:val="00C808BB"/>
    <w:rsid w:val="00C83AA8"/>
    <w:rsid w:val="00C83EBF"/>
    <w:rsid w:val="00C86541"/>
    <w:rsid w:val="00C86E51"/>
    <w:rsid w:val="00C91814"/>
    <w:rsid w:val="00C93774"/>
    <w:rsid w:val="00C939C4"/>
    <w:rsid w:val="00C972E4"/>
    <w:rsid w:val="00CA38BB"/>
    <w:rsid w:val="00CA4158"/>
    <w:rsid w:val="00CD2C72"/>
    <w:rsid w:val="00CE522C"/>
    <w:rsid w:val="00CF0E02"/>
    <w:rsid w:val="00CF5975"/>
    <w:rsid w:val="00D03AF2"/>
    <w:rsid w:val="00D03E12"/>
    <w:rsid w:val="00D11A97"/>
    <w:rsid w:val="00D24301"/>
    <w:rsid w:val="00D2775C"/>
    <w:rsid w:val="00D321EA"/>
    <w:rsid w:val="00D34616"/>
    <w:rsid w:val="00D45ADE"/>
    <w:rsid w:val="00D46446"/>
    <w:rsid w:val="00D46498"/>
    <w:rsid w:val="00D50A86"/>
    <w:rsid w:val="00D52296"/>
    <w:rsid w:val="00D603CF"/>
    <w:rsid w:val="00D66BDE"/>
    <w:rsid w:val="00D67848"/>
    <w:rsid w:val="00D7446E"/>
    <w:rsid w:val="00D77FFA"/>
    <w:rsid w:val="00D8284D"/>
    <w:rsid w:val="00D921D2"/>
    <w:rsid w:val="00D96A39"/>
    <w:rsid w:val="00D970C3"/>
    <w:rsid w:val="00DA20CF"/>
    <w:rsid w:val="00DA6FB2"/>
    <w:rsid w:val="00DB1770"/>
    <w:rsid w:val="00DB29A4"/>
    <w:rsid w:val="00DC12B5"/>
    <w:rsid w:val="00DC7077"/>
    <w:rsid w:val="00DD1B9D"/>
    <w:rsid w:val="00DD53E0"/>
    <w:rsid w:val="00DD647C"/>
    <w:rsid w:val="00DD6DD7"/>
    <w:rsid w:val="00DE20A2"/>
    <w:rsid w:val="00DE4A90"/>
    <w:rsid w:val="00DF2AEA"/>
    <w:rsid w:val="00DF6183"/>
    <w:rsid w:val="00DF6972"/>
    <w:rsid w:val="00E02E28"/>
    <w:rsid w:val="00E04143"/>
    <w:rsid w:val="00E143FF"/>
    <w:rsid w:val="00E1519C"/>
    <w:rsid w:val="00E165CC"/>
    <w:rsid w:val="00E20BCC"/>
    <w:rsid w:val="00E24F6C"/>
    <w:rsid w:val="00E25077"/>
    <w:rsid w:val="00E340A5"/>
    <w:rsid w:val="00E34ED2"/>
    <w:rsid w:val="00E41FCC"/>
    <w:rsid w:val="00E46FEC"/>
    <w:rsid w:val="00E54037"/>
    <w:rsid w:val="00E60091"/>
    <w:rsid w:val="00E63A84"/>
    <w:rsid w:val="00E641FD"/>
    <w:rsid w:val="00E66E5E"/>
    <w:rsid w:val="00E67DDE"/>
    <w:rsid w:val="00E7099E"/>
    <w:rsid w:val="00E7137E"/>
    <w:rsid w:val="00E83BA9"/>
    <w:rsid w:val="00E841CD"/>
    <w:rsid w:val="00E84913"/>
    <w:rsid w:val="00E907B1"/>
    <w:rsid w:val="00E978A4"/>
    <w:rsid w:val="00EA0E52"/>
    <w:rsid w:val="00EA1A09"/>
    <w:rsid w:val="00EB6C91"/>
    <w:rsid w:val="00EB7B67"/>
    <w:rsid w:val="00EC7E45"/>
    <w:rsid w:val="00ED1E51"/>
    <w:rsid w:val="00ED4079"/>
    <w:rsid w:val="00EE0AC5"/>
    <w:rsid w:val="00EE2BE5"/>
    <w:rsid w:val="00EE59B5"/>
    <w:rsid w:val="00EF27B7"/>
    <w:rsid w:val="00EF7E95"/>
    <w:rsid w:val="00F040D5"/>
    <w:rsid w:val="00F12E94"/>
    <w:rsid w:val="00F21E74"/>
    <w:rsid w:val="00F26017"/>
    <w:rsid w:val="00F27FBA"/>
    <w:rsid w:val="00F32F58"/>
    <w:rsid w:val="00F414AD"/>
    <w:rsid w:val="00F53FFB"/>
    <w:rsid w:val="00F555AD"/>
    <w:rsid w:val="00F577DA"/>
    <w:rsid w:val="00F61218"/>
    <w:rsid w:val="00F66ECC"/>
    <w:rsid w:val="00F82D47"/>
    <w:rsid w:val="00F860EB"/>
    <w:rsid w:val="00F968D5"/>
    <w:rsid w:val="00FA14BD"/>
    <w:rsid w:val="00FA4826"/>
    <w:rsid w:val="00FA5FDB"/>
    <w:rsid w:val="00FA6C0A"/>
    <w:rsid w:val="00FB4935"/>
    <w:rsid w:val="00FB4D32"/>
    <w:rsid w:val="00FB60F6"/>
    <w:rsid w:val="00FC37AC"/>
    <w:rsid w:val="00FD0F74"/>
    <w:rsid w:val="00FD4A88"/>
    <w:rsid w:val="00FE75F9"/>
    <w:rsid w:val="00FE7930"/>
    <w:rsid w:val="00FE79AC"/>
    <w:rsid w:val="00FF6E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7848F"/>
  <w15:docId w15:val="{B37F99C4-4859-454B-A375-01D829C3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94EC7"/>
  </w:style>
  <w:style w:type="paragraph" w:styleId="Titolo1">
    <w:name w:val="heading 1"/>
    <w:basedOn w:val="Normale"/>
    <w:link w:val="Titolo1Carattere"/>
    <w:uiPriority w:val="9"/>
    <w:qFormat/>
    <w:rsid w:val="00D67848"/>
    <w:pPr>
      <w:spacing w:before="100" w:beforeAutospacing="1" w:after="100" w:afterAutospacing="1" w:line="264" w:lineRule="atLeast"/>
      <w:outlineLvl w:val="0"/>
    </w:pPr>
    <w:rPr>
      <w:rFonts w:ascii="Times New Roman" w:eastAsia="Times New Roman" w:hAnsi="Times New Roman" w:cs="Times New Roman"/>
      <w:b/>
      <w:bCs/>
      <w:kern w:val="36"/>
      <w:sz w:val="36"/>
      <w:szCs w:val="36"/>
      <w:lang w:val="en-US"/>
    </w:rPr>
  </w:style>
  <w:style w:type="paragraph" w:styleId="Titolo2">
    <w:name w:val="heading 2"/>
    <w:basedOn w:val="Normale"/>
    <w:next w:val="Normale"/>
    <w:link w:val="Titolo2Carattere"/>
    <w:uiPriority w:val="9"/>
    <w:unhideWhenUsed/>
    <w:rsid w:val="00D6784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olo3">
    <w:name w:val="heading 3"/>
    <w:basedOn w:val="Normale"/>
    <w:next w:val="Normale"/>
    <w:link w:val="Titolo3Carattere"/>
    <w:uiPriority w:val="9"/>
    <w:semiHidden/>
    <w:unhideWhenUsed/>
    <w:qFormat/>
    <w:rsid w:val="00D6784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idascaliacarola">
    <w:name w:val="Didascalia carola"/>
    <w:basedOn w:val="Didascalia"/>
    <w:link w:val="DidascaliacarolaCarattere"/>
    <w:qFormat/>
    <w:rsid w:val="00155AC0"/>
    <w:pPr>
      <w:spacing w:after="0" w:line="480" w:lineRule="auto"/>
      <w:ind w:left="1134" w:right="851"/>
      <w:jc w:val="both"/>
    </w:pPr>
    <w:rPr>
      <w:rFonts w:ascii="Times New Roman" w:eastAsia="Times New Roman" w:hAnsi="Times New Roman" w:cs="Times New Roman"/>
      <w:b w:val="0"/>
      <w:bCs w:val="0"/>
      <w:i/>
      <w:color w:val="auto"/>
      <w:sz w:val="24"/>
      <w:szCs w:val="24"/>
      <w:lang w:val="en-US"/>
    </w:rPr>
  </w:style>
  <w:style w:type="paragraph" w:styleId="Didascalia">
    <w:name w:val="caption"/>
    <w:basedOn w:val="Normale"/>
    <w:next w:val="Normale"/>
    <w:link w:val="DidascaliaCarattere"/>
    <w:uiPriority w:val="99"/>
    <w:unhideWhenUsed/>
    <w:qFormat/>
    <w:rsid w:val="00155AC0"/>
    <w:pPr>
      <w:spacing w:line="240" w:lineRule="auto"/>
    </w:pPr>
    <w:rPr>
      <w:b/>
      <w:bCs/>
      <w:color w:val="4F81BD" w:themeColor="accent1"/>
      <w:sz w:val="18"/>
      <w:szCs w:val="18"/>
    </w:rPr>
  </w:style>
  <w:style w:type="character" w:customStyle="1" w:styleId="DidascaliacarolaCarattere">
    <w:name w:val="Didascalia carola Carattere"/>
    <w:basedOn w:val="Carpredefinitoparagrafo"/>
    <w:link w:val="Didascaliacarola"/>
    <w:rsid w:val="00155AC0"/>
    <w:rPr>
      <w:rFonts w:ascii="Times New Roman" w:eastAsia="Times New Roman" w:hAnsi="Times New Roman" w:cs="Times New Roman"/>
      <w:i/>
      <w:sz w:val="24"/>
      <w:szCs w:val="24"/>
      <w:lang w:val="en-US"/>
    </w:rPr>
  </w:style>
  <w:style w:type="paragraph" w:customStyle="1" w:styleId="Testotesi">
    <w:name w:val="Testo tesi"/>
    <w:basedOn w:val="Normale"/>
    <w:link w:val="TestotesiCarattere"/>
    <w:qFormat/>
    <w:rsid w:val="00155AC0"/>
    <w:pPr>
      <w:spacing w:after="0" w:line="480" w:lineRule="auto"/>
      <w:ind w:left="1134" w:right="851"/>
      <w:jc w:val="both"/>
    </w:pPr>
    <w:rPr>
      <w:rFonts w:ascii="Times New Roman" w:eastAsia="Times New Roman" w:hAnsi="Times New Roman" w:cs="Times New Roman"/>
      <w:sz w:val="24"/>
      <w:szCs w:val="24"/>
      <w:lang w:val="en-US"/>
    </w:rPr>
  </w:style>
  <w:style w:type="character" w:customStyle="1" w:styleId="TestotesiCarattere">
    <w:name w:val="Testo tesi Carattere"/>
    <w:basedOn w:val="Carpredefinitoparagrafo"/>
    <w:link w:val="Testotesi"/>
    <w:rsid w:val="00155AC0"/>
    <w:rPr>
      <w:rFonts w:ascii="Times New Roman" w:eastAsia="Times New Roman" w:hAnsi="Times New Roman" w:cs="Times New Roman"/>
      <w:sz w:val="24"/>
      <w:szCs w:val="24"/>
      <w:lang w:val="en-US"/>
    </w:rPr>
  </w:style>
  <w:style w:type="paragraph" w:customStyle="1" w:styleId="Titoletto">
    <w:name w:val="Titoletto"/>
    <w:basedOn w:val="Normale"/>
    <w:link w:val="TitolettoCarattere"/>
    <w:qFormat/>
    <w:rsid w:val="00155AC0"/>
    <w:pPr>
      <w:spacing w:after="0" w:line="480" w:lineRule="auto"/>
      <w:ind w:left="1134" w:right="850"/>
      <w:jc w:val="center"/>
    </w:pPr>
    <w:rPr>
      <w:rFonts w:ascii="Times New Roman" w:eastAsia="Times New Roman" w:hAnsi="Times New Roman" w:cs="Times New Roman"/>
      <w:b/>
      <w:sz w:val="28"/>
      <w:szCs w:val="24"/>
      <w:lang w:val="en-US"/>
    </w:rPr>
  </w:style>
  <w:style w:type="character" w:customStyle="1" w:styleId="TitolettoCarattere">
    <w:name w:val="Titoletto Carattere"/>
    <w:basedOn w:val="Carpredefinitoparagrafo"/>
    <w:link w:val="Titoletto"/>
    <w:rsid w:val="00155AC0"/>
    <w:rPr>
      <w:rFonts w:ascii="Times New Roman" w:eastAsia="Times New Roman" w:hAnsi="Times New Roman" w:cs="Times New Roman"/>
      <w:b/>
      <w:sz w:val="28"/>
      <w:szCs w:val="24"/>
      <w:lang w:val="en-US"/>
    </w:rPr>
  </w:style>
  <w:style w:type="paragraph" w:customStyle="1" w:styleId="Titolone">
    <w:name w:val="Titolone"/>
    <w:link w:val="TitoloneCarattere"/>
    <w:qFormat/>
    <w:rsid w:val="00155AC0"/>
    <w:pPr>
      <w:numPr>
        <w:numId w:val="1"/>
      </w:numPr>
      <w:spacing w:line="480" w:lineRule="auto"/>
      <w:ind w:right="850"/>
      <w:jc w:val="center"/>
    </w:pPr>
    <w:rPr>
      <w:rFonts w:ascii="Times New Roman" w:eastAsia="Calibri" w:hAnsi="Times New Roman" w:cs="Times New Roman"/>
      <w:b/>
      <w:sz w:val="36"/>
      <w:szCs w:val="36"/>
    </w:rPr>
  </w:style>
  <w:style w:type="character" w:customStyle="1" w:styleId="TitoloneCarattere">
    <w:name w:val="Titolone Carattere"/>
    <w:basedOn w:val="Carpredefinitoparagrafo"/>
    <w:link w:val="Titolone"/>
    <w:rsid w:val="00155AC0"/>
    <w:rPr>
      <w:rFonts w:ascii="Times New Roman" w:eastAsia="Calibri" w:hAnsi="Times New Roman" w:cs="Times New Roman"/>
      <w:b/>
      <w:sz w:val="36"/>
      <w:szCs w:val="36"/>
    </w:rPr>
  </w:style>
  <w:style w:type="paragraph" w:styleId="Testofumetto">
    <w:name w:val="Balloon Text"/>
    <w:basedOn w:val="Normale"/>
    <w:link w:val="TestofumettoCarattere"/>
    <w:uiPriority w:val="99"/>
    <w:semiHidden/>
    <w:unhideWhenUsed/>
    <w:rsid w:val="00F040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040D5"/>
    <w:rPr>
      <w:rFonts w:ascii="Tahoma" w:hAnsi="Tahoma" w:cs="Tahoma"/>
      <w:sz w:val="16"/>
      <w:szCs w:val="16"/>
    </w:rPr>
  </w:style>
  <w:style w:type="character" w:styleId="CitazioneHTML">
    <w:name w:val="HTML Cite"/>
    <w:basedOn w:val="Carpredefinitoparagrafo"/>
    <w:rsid w:val="006407AF"/>
    <w:rPr>
      <w:i/>
      <w:iCs/>
    </w:rPr>
  </w:style>
  <w:style w:type="character" w:customStyle="1" w:styleId="slug-pub-date">
    <w:name w:val="slug-pub-date"/>
    <w:basedOn w:val="Carpredefinitoparagrafo"/>
    <w:rsid w:val="006407AF"/>
  </w:style>
  <w:style w:type="paragraph" w:customStyle="1" w:styleId="Standard">
    <w:name w:val="Standard"/>
    <w:rsid w:val="000E26A0"/>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paragraph" w:styleId="Intestazione">
    <w:name w:val="header"/>
    <w:basedOn w:val="Normale"/>
    <w:link w:val="IntestazioneCarattere"/>
    <w:uiPriority w:val="99"/>
    <w:unhideWhenUsed/>
    <w:rsid w:val="000E26A0"/>
    <w:pPr>
      <w:tabs>
        <w:tab w:val="center" w:pos="4819"/>
        <w:tab w:val="right" w:pos="9638"/>
      </w:tabs>
      <w:spacing w:after="0" w:line="240"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0E26A0"/>
    <w:rPr>
      <w:rFonts w:ascii="Calibri" w:eastAsia="Calibri" w:hAnsi="Calibri" w:cs="Times New Roman"/>
    </w:rPr>
  </w:style>
  <w:style w:type="paragraph" w:styleId="Pidipagina">
    <w:name w:val="footer"/>
    <w:basedOn w:val="Normale"/>
    <w:link w:val="PidipaginaCarattere"/>
    <w:uiPriority w:val="99"/>
    <w:unhideWhenUsed/>
    <w:rsid w:val="000E26A0"/>
    <w:pPr>
      <w:tabs>
        <w:tab w:val="center" w:pos="4819"/>
        <w:tab w:val="right" w:pos="9638"/>
      </w:tabs>
      <w:spacing w:after="0" w:line="240"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0E26A0"/>
    <w:rPr>
      <w:rFonts w:ascii="Calibri" w:eastAsia="Calibri" w:hAnsi="Calibri" w:cs="Times New Roman"/>
    </w:rPr>
  </w:style>
  <w:style w:type="table" w:styleId="Grigliatabella">
    <w:name w:val="Table Grid"/>
    <w:basedOn w:val="Tabellanormale"/>
    <w:uiPriority w:val="39"/>
    <w:rsid w:val="00FF6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D67848"/>
    <w:rPr>
      <w:rFonts w:ascii="Times New Roman" w:eastAsia="Times New Roman" w:hAnsi="Times New Roman" w:cs="Times New Roman"/>
      <w:b/>
      <w:bCs/>
      <w:kern w:val="36"/>
      <w:sz w:val="36"/>
      <w:szCs w:val="36"/>
      <w:lang w:val="en-US"/>
    </w:rPr>
  </w:style>
  <w:style w:type="character" w:customStyle="1" w:styleId="Titolo2Carattere">
    <w:name w:val="Titolo 2 Carattere"/>
    <w:basedOn w:val="Carpredefinitoparagrafo"/>
    <w:link w:val="Titolo2"/>
    <w:uiPriority w:val="9"/>
    <w:rsid w:val="00D67848"/>
    <w:rPr>
      <w:rFonts w:asciiTheme="majorHAnsi" w:eastAsiaTheme="majorEastAsia" w:hAnsiTheme="majorHAnsi" w:cstheme="majorBidi"/>
      <w:b/>
      <w:bCs/>
      <w:color w:val="4F81BD" w:themeColor="accent1"/>
      <w:sz w:val="26"/>
      <w:szCs w:val="26"/>
      <w:lang w:val="en-US"/>
    </w:rPr>
  </w:style>
  <w:style w:type="character" w:customStyle="1" w:styleId="Titolo3Carattere">
    <w:name w:val="Titolo 3 Carattere"/>
    <w:basedOn w:val="Carpredefinitoparagrafo"/>
    <w:link w:val="Titolo3"/>
    <w:uiPriority w:val="9"/>
    <w:semiHidden/>
    <w:rsid w:val="00D67848"/>
    <w:rPr>
      <w:rFonts w:asciiTheme="majorHAnsi" w:eastAsiaTheme="majorEastAsia" w:hAnsiTheme="majorHAnsi" w:cstheme="majorBidi"/>
      <w:b/>
      <w:bCs/>
      <w:color w:val="4F81BD" w:themeColor="accent1"/>
      <w:sz w:val="24"/>
      <w:szCs w:val="24"/>
      <w:lang w:val="en-US"/>
    </w:rPr>
  </w:style>
  <w:style w:type="character" w:styleId="Collegamentoipertestuale">
    <w:name w:val="Hyperlink"/>
    <w:basedOn w:val="Carpredefinitoparagrafo"/>
    <w:uiPriority w:val="99"/>
    <w:rsid w:val="00D67848"/>
    <w:rPr>
      <w:color w:val="0000FF"/>
      <w:u w:val="single"/>
    </w:rPr>
  </w:style>
  <w:style w:type="paragraph" w:styleId="NormaleWeb">
    <w:name w:val="Normal (Web)"/>
    <w:basedOn w:val="Normale"/>
    <w:uiPriority w:val="99"/>
    <w:rsid w:val="00D678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itation">
    <w:name w:val="citation"/>
    <w:basedOn w:val="Normale"/>
    <w:rsid w:val="00D678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ff">
    <w:name w:val="aff"/>
    <w:basedOn w:val="Normale"/>
    <w:rsid w:val="00D678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uthlist">
    <w:name w:val="auth_list"/>
    <w:basedOn w:val="Normale"/>
    <w:rsid w:val="00D67848"/>
    <w:pPr>
      <w:shd w:val="clear" w:color="auto" w:fill="FFFFFF"/>
      <w:spacing w:before="100" w:beforeAutospacing="1" w:after="100" w:afterAutospacing="1" w:line="240" w:lineRule="auto"/>
      <w:ind w:right="5604"/>
    </w:pPr>
    <w:rPr>
      <w:rFonts w:ascii="Times New Roman" w:eastAsia="Times New Roman" w:hAnsi="Times New Roman" w:cs="Times New Roman"/>
      <w:sz w:val="29"/>
      <w:szCs w:val="29"/>
      <w:lang w:val="en-US"/>
    </w:rPr>
  </w:style>
  <w:style w:type="character" w:customStyle="1" w:styleId="metadata">
    <w:name w:val="metadata"/>
    <w:basedOn w:val="Carpredefinitoparagrafo"/>
    <w:rsid w:val="00D67848"/>
  </w:style>
  <w:style w:type="character" w:styleId="Enfasicorsivo">
    <w:name w:val="Emphasis"/>
    <w:basedOn w:val="Carpredefinitoparagrafo"/>
    <w:qFormat/>
    <w:rsid w:val="00D67848"/>
    <w:rPr>
      <w:i/>
      <w:iCs/>
    </w:rPr>
  </w:style>
  <w:style w:type="paragraph" w:styleId="Paragrafoelenco">
    <w:name w:val="List Paragraph"/>
    <w:basedOn w:val="Normale"/>
    <w:uiPriority w:val="34"/>
    <w:qFormat/>
    <w:rsid w:val="00D67848"/>
    <w:pPr>
      <w:ind w:left="720"/>
      <w:contextualSpacing/>
    </w:pPr>
    <w:rPr>
      <w:rFonts w:ascii="Calibri" w:eastAsia="Calibri" w:hAnsi="Calibri" w:cs="Times New Roman"/>
    </w:rPr>
  </w:style>
  <w:style w:type="character" w:styleId="Numeropagina">
    <w:name w:val="page number"/>
    <w:basedOn w:val="Carpredefinitoparagrafo"/>
    <w:rsid w:val="00D67848"/>
  </w:style>
  <w:style w:type="paragraph" w:styleId="Titolo">
    <w:name w:val="Title"/>
    <w:basedOn w:val="Normale"/>
    <w:next w:val="Normale"/>
    <w:link w:val="TitoloCarattere"/>
    <w:uiPriority w:val="10"/>
    <w:rsid w:val="00D67848"/>
    <w:pPr>
      <w:spacing w:before="240" w:after="60" w:line="240" w:lineRule="auto"/>
      <w:jc w:val="center"/>
      <w:outlineLvl w:val="0"/>
    </w:pPr>
    <w:rPr>
      <w:rFonts w:asciiTheme="majorHAnsi" w:eastAsiaTheme="majorEastAsia" w:hAnsiTheme="majorHAnsi" w:cstheme="majorBidi"/>
      <w:b/>
      <w:bCs/>
      <w:kern w:val="28"/>
      <w:sz w:val="32"/>
      <w:szCs w:val="32"/>
      <w:lang w:val="en-US"/>
    </w:rPr>
  </w:style>
  <w:style w:type="character" w:customStyle="1" w:styleId="TitoloCarattere">
    <w:name w:val="Titolo Carattere"/>
    <w:basedOn w:val="Carpredefinitoparagrafo"/>
    <w:link w:val="Titolo"/>
    <w:uiPriority w:val="10"/>
    <w:rsid w:val="00D67848"/>
    <w:rPr>
      <w:rFonts w:asciiTheme="majorHAnsi" w:eastAsiaTheme="majorEastAsia" w:hAnsiTheme="majorHAnsi" w:cstheme="majorBidi"/>
      <w:b/>
      <w:bCs/>
      <w:kern w:val="28"/>
      <w:sz w:val="32"/>
      <w:szCs w:val="32"/>
      <w:lang w:val="en-US"/>
    </w:rPr>
  </w:style>
  <w:style w:type="character" w:customStyle="1" w:styleId="DidascaliaCarattere">
    <w:name w:val="Didascalia Carattere"/>
    <w:basedOn w:val="Carpredefinitoparagrafo"/>
    <w:link w:val="Didascalia"/>
    <w:uiPriority w:val="99"/>
    <w:rsid w:val="00D67848"/>
    <w:rPr>
      <w:b/>
      <w:bCs/>
      <w:color w:val="4F81BD" w:themeColor="accent1"/>
      <w:sz w:val="18"/>
      <w:szCs w:val="18"/>
    </w:rPr>
  </w:style>
  <w:style w:type="paragraph" w:styleId="Titolosommario">
    <w:name w:val="TOC Heading"/>
    <w:basedOn w:val="Titolo1"/>
    <w:next w:val="Normale"/>
    <w:uiPriority w:val="39"/>
    <w:unhideWhenUsed/>
    <w:qFormat/>
    <w:rsid w:val="00D6784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it-IT"/>
    </w:rPr>
  </w:style>
  <w:style w:type="paragraph" w:styleId="Sommario1">
    <w:name w:val="toc 1"/>
    <w:basedOn w:val="Normale"/>
    <w:next w:val="Normale"/>
    <w:autoRedefine/>
    <w:uiPriority w:val="39"/>
    <w:unhideWhenUsed/>
    <w:rsid w:val="001A08BD"/>
    <w:pPr>
      <w:spacing w:after="100" w:line="240" w:lineRule="auto"/>
    </w:pPr>
    <w:rPr>
      <w:rFonts w:ascii="Times New Roman" w:eastAsia="Times New Roman" w:hAnsi="Times New Roman" w:cs="Times New Roman"/>
      <w:bCs/>
      <w:sz w:val="24"/>
      <w:szCs w:val="24"/>
      <w:lang w:val="en-US"/>
    </w:rPr>
  </w:style>
  <w:style w:type="paragraph" w:styleId="Sommario2">
    <w:name w:val="toc 2"/>
    <w:basedOn w:val="Normale"/>
    <w:next w:val="Normale"/>
    <w:autoRedefine/>
    <w:uiPriority w:val="39"/>
    <w:unhideWhenUsed/>
    <w:rsid w:val="00BB3D61"/>
    <w:pPr>
      <w:tabs>
        <w:tab w:val="left" w:pos="880"/>
        <w:tab w:val="right" w:leader="dot" w:pos="7926"/>
      </w:tabs>
      <w:spacing w:after="100" w:line="240" w:lineRule="auto"/>
      <w:ind w:left="240"/>
    </w:pPr>
    <w:rPr>
      <w:rFonts w:ascii="Times New Roman" w:eastAsia="Times New Roman" w:hAnsi="Times New Roman" w:cs="Times New Roman"/>
      <w:noProof/>
      <w:sz w:val="24"/>
      <w:szCs w:val="24"/>
      <w:lang w:val="en-US"/>
    </w:rPr>
  </w:style>
  <w:style w:type="paragraph" w:styleId="Nessunaspaziatura">
    <w:name w:val="No Spacing"/>
    <w:link w:val="NessunaspaziaturaCarattere"/>
    <w:uiPriority w:val="1"/>
    <w:qFormat/>
    <w:rsid w:val="00D67848"/>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D67848"/>
    <w:rPr>
      <w:rFonts w:eastAsiaTheme="minorEastAsia"/>
    </w:rPr>
  </w:style>
  <w:style w:type="character" w:customStyle="1" w:styleId="slug-vol">
    <w:name w:val="slug-vol"/>
    <w:basedOn w:val="Carpredefinitoparagrafo"/>
    <w:rsid w:val="00D67848"/>
  </w:style>
  <w:style w:type="character" w:customStyle="1" w:styleId="slug-issue">
    <w:name w:val="slug-issue"/>
    <w:basedOn w:val="Carpredefinitoparagrafo"/>
    <w:rsid w:val="00D67848"/>
  </w:style>
  <w:style w:type="character" w:customStyle="1" w:styleId="slug-pages">
    <w:name w:val="slug-pages"/>
    <w:basedOn w:val="Carpredefinitoparagrafo"/>
    <w:rsid w:val="00D67848"/>
  </w:style>
  <w:style w:type="paragraph" w:styleId="Bibliografia">
    <w:name w:val="Bibliography"/>
    <w:basedOn w:val="Normale"/>
    <w:next w:val="Normale"/>
    <w:uiPriority w:val="37"/>
    <w:unhideWhenUsed/>
    <w:rsid w:val="00B23FB5"/>
  </w:style>
  <w:style w:type="paragraph" w:styleId="Sommario3">
    <w:name w:val="toc 3"/>
    <w:basedOn w:val="Normale"/>
    <w:next w:val="Normale"/>
    <w:autoRedefine/>
    <w:uiPriority w:val="39"/>
    <w:unhideWhenUsed/>
    <w:rsid w:val="001A08BD"/>
    <w:pPr>
      <w:spacing w:after="100" w:line="259" w:lineRule="auto"/>
      <w:ind w:left="440"/>
    </w:pPr>
    <w:rPr>
      <w:rFonts w:eastAsiaTheme="minorEastAsia" w:cs="Times New Roman"/>
      <w:lang w:eastAsia="it-IT"/>
    </w:rPr>
  </w:style>
  <w:style w:type="paragraph" w:customStyle="1" w:styleId="Default">
    <w:name w:val="Default"/>
    <w:rsid w:val="001A08BD"/>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621176"/>
    <w:rPr>
      <w:sz w:val="16"/>
      <w:szCs w:val="16"/>
    </w:rPr>
  </w:style>
  <w:style w:type="paragraph" w:styleId="Testocommento">
    <w:name w:val="annotation text"/>
    <w:basedOn w:val="Normale"/>
    <w:link w:val="TestocommentoCarattere"/>
    <w:uiPriority w:val="99"/>
    <w:semiHidden/>
    <w:unhideWhenUsed/>
    <w:rsid w:val="006211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211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11092">
      <w:bodyDiv w:val="1"/>
      <w:marLeft w:val="0"/>
      <w:marRight w:val="0"/>
      <w:marTop w:val="0"/>
      <w:marBottom w:val="0"/>
      <w:divBdr>
        <w:top w:val="none" w:sz="0" w:space="0" w:color="auto"/>
        <w:left w:val="none" w:sz="0" w:space="0" w:color="auto"/>
        <w:bottom w:val="none" w:sz="0" w:space="0" w:color="auto"/>
        <w:right w:val="none" w:sz="0" w:space="0" w:color="auto"/>
      </w:divBdr>
    </w:div>
    <w:div w:id="251283469">
      <w:bodyDiv w:val="1"/>
      <w:marLeft w:val="0"/>
      <w:marRight w:val="0"/>
      <w:marTop w:val="0"/>
      <w:marBottom w:val="0"/>
      <w:divBdr>
        <w:top w:val="none" w:sz="0" w:space="0" w:color="auto"/>
        <w:left w:val="none" w:sz="0" w:space="0" w:color="auto"/>
        <w:bottom w:val="none" w:sz="0" w:space="0" w:color="auto"/>
        <w:right w:val="none" w:sz="0" w:space="0" w:color="auto"/>
      </w:divBdr>
    </w:div>
    <w:div w:id="579877078">
      <w:bodyDiv w:val="1"/>
      <w:marLeft w:val="0"/>
      <w:marRight w:val="0"/>
      <w:marTop w:val="0"/>
      <w:marBottom w:val="0"/>
      <w:divBdr>
        <w:top w:val="none" w:sz="0" w:space="0" w:color="auto"/>
        <w:left w:val="none" w:sz="0" w:space="0" w:color="auto"/>
        <w:bottom w:val="none" w:sz="0" w:space="0" w:color="auto"/>
        <w:right w:val="none" w:sz="0" w:space="0" w:color="auto"/>
      </w:divBdr>
    </w:div>
    <w:div w:id="676883470">
      <w:bodyDiv w:val="1"/>
      <w:marLeft w:val="0"/>
      <w:marRight w:val="0"/>
      <w:marTop w:val="0"/>
      <w:marBottom w:val="0"/>
      <w:divBdr>
        <w:top w:val="none" w:sz="0" w:space="0" w:color="auto"/>
        <w:left w:val="none" w:sz="0" w:space="0" w:color="auto"/>
        <w:bottom w:val="none" w:sz="0" w:space="0" w:color="auto"/>
        <w:right w:val="none" w:sz="0" w:space="0" w:color="auto"/>
      </w:divBdr>
    </w:div>
    <w:div w:id="690841120">
      <w:bodyDiv w:val="1"/>
      <w:marLeft w:val="0"/>
      <w:marRight w:val="0"/>
      <w:marTop w:val="0"/>
      <w:marBottom w:val="0"/>
      <w:divBdr>
        <w:top w:val="none" w:sz="0" w:space="0" w:color="auto"/>
        <w:left w:val="none" w:sz="0" w:space="0" w:color="auto"/>
        <w:bottom w:val="none" w:sz="0" w:space="0" w:color="auto"/>
        <w:right w:val="none" w:sz="0" w:space="0" w:color="auto"/>
      </w:divBdr>
    </w:div>
    <w:div w:id="732461383">
      <w:bodyDiv w:val="1"/>
      <w:marLeft w:val="0"/>
      <w:marRight w:val="0"/>
      <w:marTop w:val="0"/>
      <w:marBottom w:val="0"/>
      <w:divBdr>
        <w:top w:val="none" w:sz="0" w:space="0" w:color="auto"/>
        <w:left w:val="none" w:sz="0" w:space="0" w:color="auto"/>
        <w:bottom w:val="none" w:sz="0" w:space="0" w:color="auto"/>
        <w:right w:val="none" w:sz="0" w:space="0" w:color="auto"/>
      </w:divBdr>
    </w:div>
    <w:div w:id="863175362">
      <w:bodyDiv w:val="1"/>
      <w:marLeft w:val="0"/>
      <w:marRight w:val="0"/>
      <w:marTop w:val="0"/>
      <w:marBottom w:val="0"/>
      <w:divBdr>
        <w:top w:val="none" w:sz="0" w:space="0" w:color="auto"/>
        <w:left w:val="none" w:sz="0" w:space="0" w:color="auto"/>
        <w:bottom w:val="none" w:sz="0" w:space="0" w:color="auto"/>
        <w:right w:val="none" w:sz="0" w:space="0" w:color="auto"/>
      </w:divBdr>
    </w:div>
    <w:div w:id="921184407">
      <w:bodyDiv w:val="1"/>
      <w:marLeft w:val="0"/>
      <w:marRight w:val="0"/>
      <w:marTop w:val="0"/>
      <w:marBottom w:val="0"/>
      <w:divBdr>
        <w:top w:val="none" w:sz="0" w:space="0" w:color="auto"/>
        <w:left w:val="none" w:sz="0" w:space="0" w:color="auto"/>
        <w:bottom w:val="none" w:sz="0" w:space="0" w:color="auto"/>
        <w:right w:val="none" w:sz="0" w:space="0" w:color="auto"/>
      </w:divBdr>
    </w:div>
    <w:div w:id="1008411797">
      <w:bodyDiv w:val="1"/>
      <w:marLeft w:val="0"/>
      <w:marRight w:val="0"/>
      <w:marTop w:val="0"/>
      <w:marBottom w:val="0"/>
      <w:divBdr>
        <w:top w:val="none" w:sz="0" w:space="0" w:color="auto"/>
        <w:left w:val="none" w:sz="0" w:space="0" w:color="auto"/>
        <w:bottom w:val="none" w:sz="0" w:space="0" w:color="auto"/>
        <w:right w:val="none" w:sz="0" w:space="0" w:color="auto"/>
      </w:divBdr>
    </w:div>
    <w:div w:id="1144007636">
      <w:bodyDiv w:val="1"/>
      <w:marLeft w:val="0"/>
      <w:marRight w:val="0"/>
      <w:marTop w:val="0"/>
      <w:marBottom w:val="0"/>
      <w:divBdr>
        <w:top w:val="none" w:sz="0" w:space="0" w:color="auto"/>
        <w:left w:val="none" w:sz="0" w:space="0" w:color="auto"/>
        <w:bottom w:val="none" w:sz="0" w:space="0" w:color="auto"/>
        <w:right w:val="none" w:sz="0" w:space="0" w:color="auto"/>
      </w:divBdr>
    </w:div>
    <w:div w:id="1356619585">
      <w:bodyDiv w:val="1"/>
      <w:marLeft w:val="0"/>
      <w:marRight w:val="0"/>
      <w:marTop w:val="0"/>
      <w:marBottom w:val="0"/>
      <w:divBdr>
        <w:top w:val="none" w:sz="0" w:space="0" w:color="auto"/>
        <w:left w:val="none" w:sz="0" w:space="0" w:color="auto"/>
        <w:bottom w:val="none" w:sz="0" w:space="0" w:color="auto"/>
        <w:right w:val="none" w:sz="0" w:space="0" w:color="auto"/>
      </w:divBdr>
    </w:div>
    <w:div w:id="1470249626">
      <w:bodyDiv w:val="1"/>
      <w:marLeft w:val="0"/>
      <w:marRight w:val="0"/>
      <w:marTop w:val="0"/>
      <w:marBottom w:val="0"/>
      <w:divBdr>
        <w:top w:val="none" w:sz="0" w:space="0" w:color="auto"/>
        <w:left w:val="none" w:sz="0" w:space="0" w:color="auto"/>
        <w:bottom w:val="none" w:sz="0" w:space="0" w:color="auto"/>
        <w:right w:val="none" w:sz="0" w:space="0" w:color="auto"/>
      </w:divBdr>
    </w:div>
    <w:div w:id="1556892550">
      <w:bodyDiv w:val="1"/>
      <w:marLeft w:val="0"/>
      <w:marRight w:val="0"/>
      <w:marTop w:val="0"/>
      <w:marBottom w:val="0"/>
      <w:divBdr>
        <w:top w:val="none" w:sz="0" w:space="0" w:color="auto"/>
        <w:left w:val="none" w:sz="0" w:space="0" w:color="auto"/>
        <w:bottom w:val="none" w:sz="0" w:space="0" w:color="auto"/>
        <w:right w:val="none" w:sz="0" w:space="0" w:color="auto"/>
      </w:divBdr>
    </w:div>
    <w:div w:id="1646083790">
      <w:bodyDiv w:val="1"/>
      <w:marLeft w:val="0"/>
      <w:marRight w:val="0"/>
      <w:marTop w:val="0"/>
      <w:marBottom w:val="0"/>
      <w:divBdr>
        <w:top w:val="none" w:sz="0" w:space="0" w:color="auto"/>
        <w:left w:val="none" w:sz="0" w:space="0" w:color="auto"/>
        <w:bottom w:val="none" w:sz="0" w:space="0" w:color="auto"/>
        <w:right w:val="none" w:sz="0" w:space="0" w:color="auto"/>
      </w:divBdr>
    </w:div>
    <w:div w:id="1677077749">
      <w:bodyDiv w:val="1"/>
      <w:marLeft w:val="0"/>
      <w:marRight w:val="0"/>
      <w:marTop w:val="0"/>
      <w:marBottom w:val="0"/>
      <w:divBdr>
        <w:top w:val="none" w:sz="0" w:space="0" w:color="auto"/>
        <w:left w:val="none" w:sz="0" w:space="0" w:color="auto"/>
        <w:bottom w:val="none" w:sz="0" w:space="0" w:color="auto"/>
        <w:right w:val="none" w:sz="0" w:space="0" w:color="auto"/>
      </w:divBdr>
    </w:div>
    <w:div w:id="1687830518">
      <w:bodyDiv w:val="1"/>
      <w:marLeft w:val="0"/>
      <w:marRight w:val="0"/>
      <w:marTop w:val="0"/>
      <w:marBottom w:val="0"/>
      <w:divBdr>
        <w:top w:val="none" w:sz="0" w:space="0" w:color="auto"/>
        <w:left w:val="none" w:sz="0" w:space="0" w:color="auto"/>
        <w:bottom w:val="none" w:sz="0" w:space="0" w:color="auto"/>
        <w:right w:val="none" w:sz="0" w:space="0" w:color="auto"/>
      </w:divBdr>
    </w:div>
    <w:div w:id="1968394797">
      <w:bodyDiv w:val="1"/>
      <w:marLeft w:val="0"/>
      <w:marRight w:val="0"/>
      <w:marTop w:val="0"/>
      <w:marBottom w:val="0"/>
      <w:divBdr>
        <w:top w:val="none" w:sz="0" w:space="0" w:color="auto"/>
        <w:left w:val="none" w:sz="0" w:space="0" w:color="auto"/>
        <w:bottom w:val="none" w:sz="0" w:space="0" w:color="auto"/>
        <w:right w:val="none" w:sz="0" w:space="0" w:color="auto"/>
      </w:divBdr>
    </w:div>
    <w:div w:id="205966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chart" Target="charts/chart2.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s://it.wikipedia.org/wiki/Informazioni"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hart" Target="charts/chart7.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Anni</a:t>
            </a:r>
            <a:r>
              <a:rPr lang="it-IT" baseline="0"/>
              <a:t> di esercizio della professione come MMG </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Foglio1!$A$1:$A$5</c:f>
              <c:strCache>
                <c:ptCount val="5"/>
                <c:pt idx="0">
                  <c:v>0-10 anni</c:v>
                </c:pt>
                <c:pt idx="1">
                  <c:v>11-20 anni</c:v>
                </c:pt>
                <c:pt idx="2">
                  <c:v>21-30 anni </c:v>
                </c:pt>
                <c:pt idx="3">
                  <c:v>&gt;30 anni</c:v>
                </c:pt>
                <c:pt idx="4">
                  <c:v>nessuna risposta</c:v>
                </c:pt>
              </c:strCache>
            </c:strRef>
          </c:cat>
          <c:val>
            <c:numRef>
              <c:f>Foglio1!$B$1:$B$5</c:f>
              <c:numCache>
                <c:formatCode>General</c:formatCode>
                <c:ptCount val="5"/>
                <c:pt idx="0">
                  <c:v>7</c:v>
                </c:pt>
                <c:pt idx="1">
                  <c:v>7</c:v>
                </c:pt>
                <c:pt idx="2">
                  <c:v>26</c:v>
                </c:pt>
                <c:pt idx="3">
                  <c:v>33</c:v>
                </c:pt>
                <c:pt idx="4">
                  <c:v>3</c:v>
                </c:pt>
              </c:numCache>
            </c:numRef>
          </c:val>
          <c:extLst xmlns:c16r2="http://schemas.microsoft.com/office/drawing/2015/06/chart">
            <c:ext xmlns:c16="http://schemas.microsoft.com/office/drawing/2014/chart" uri="{C3380CC4-5D6E-409C-BE32-E72D297353CC}">
              <c16:uniqueId val="{00000000-E2C7-47D2-9B5E-DC8067682695}"/>
            </c:ext>
          </c:extLst>
        </c:ser>
        <c:dLbls>
          <c:dLblPos val="outEnd"/>
          <c:showLegendKey val="0"/>
          <c:showVal val="1"/>
          <c:showCatName val="0"/>
          <c:showSerName val="0"/>
          <c:showPercent val="0"/>
          <c:showBubbleSize val="0"/>
        </c:dLbls>
        <c:gapWidth val="219"/>
        <c:overlap val="-27"/>
        <c:axId val="502745576"/>
        <c:axId val="502748320"/>
      </c:barChart>
      <c:catAx>
        <c:axId val="50274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748320"/>
        <c:crosses val="autoZero"/>
        <c:auto val="1"/>
        <c:lblAlgn val="ctr"/>
        <c:lblOffset val="100"/>
        <c:noMultiLvlLbl val="0"/>
      </c:catAx>
      <c:valAx>
        <c:axId val="50274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745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Specialista di riferimento a cui viene inviato il paziente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5.224786462131794E-2"/>
          <c:y val="0.24720133667502089"/>
          <c:w val="0.90850566756078566"/>
          <c:h val="0.6308967957952624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Foglio1!$A$58:$A$64</c:f>
              <c:strCache>
                <c:ptCount val="7"/>
                <c:pt idx="0">
                  <c:v>Reumatologo</c:v>
                </c:pt>
                <c:pt idx="1">
                  <c:v>Immunologo</c:v>
                </c:pt>
                <c:pt idx="2">
                  <c:v>Internista</c:v>
                </c:pt>
                <c:pt idx="3">
                  <c:v>Oculista </c:v>
                </c:pt>
                <c:pt idx="4">
                  <c:v>Neurologo</c:v>
                </c:pt>
                <c:pt idx="5">
                  <c:v>Gestione autonoma</c:v>
                </c:pt>
                <c:pt idx="6">
                  <c:v>Nessuna risposta</c:v>
                </c:pt>
              </c:strCache>
            </c:strRef>
          </c:cat>
          <c:val>
            <c:numRef>
              <c:f>Foglio1!$B$58:$B$64</c:f>
              <c:numCache>
                <c:formatCode>General</c:formatCode>
                <c:ptCount val="7"/>
                <c:pt idx="0">
                  <c:v>50</c:v>
                </c:pt>
                <c:pt idx="1">
                  <c:v>3</c:v>
                </c:pt>
                <c:pt idx="2">
                  <c:v>5</c:v>
                </c:pt>
                <c:pt idx="3">
                  <c:v>3</c:v>
                </c:pt>
                <c:pt idx="4">
                  <c:v>9</c:v>
                </c:pt>
                <c:pt idx="5">
                  <c:v>5</c:v>
                </c:pt>
                <c:pt idx="6">
                  <c:v>3</c:v>
                </c:pt>
              </c:numCache>
            </c:numRef>
          </c:val>
          <c:extLst xmlns:c16r2="http://schemas.microsoft.com/office/drawing/2015/06/chart">
            <c:ext xmlns:c16="http://schemas.microsoft.com/office/drawing/2014/chart" uri="{C3380CC4-5D6E-409C-BE32-E72D297353CC}">
              <c16:uniqueId val="{00000000-4250-484B-8E40-7E88D576F803}"/>
            </c:ext>
          </c:extLst>
        </c:ser>
        <c:dLbls>
          <c:dLblPos val="outEnd"/>
          <c:showLegendKey val="0"/>
          <c:showVal val="1"/>
          <c:showCatName val="0"/>
          <c:showSerName val="0"/>
          <c:showPercent val="0"/>
          <c:showBubbleSize val="0"/>
        </c:dLbls>
        <c:gapWidth val="219"/>
        <c:overlap val="-27"/>
        <c:axId val="504995864"/>
        <c:axId val="504987632"/>
      </c:barChart>
      <c:catAx>
        <c:axId val="50499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87632"/>
        <c:crosses val="autoZero"/>
        <c:auto val="1"/>
        <c:lblAlgn val="ctr"/>
        <c:lblOffset val="100"/>
        <c:noMultiLvlLbl val="0"/>
      </c:catAx>
      <c:valAx>
        <c:axId val="50498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5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Quando</a:t>
            </a:r>
            <a:r>
              <a:rPr lang="it-IT" baseline="0"/>
              <a:t> iniziare la terapia per i pazienti con arterite gigantocellulare</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Foglio1!$A$68:$A$72</c:f>
              <c:strCache>
                <c:ptCount val="5"/>
                <c:pt idx="0">
                  <c:v>Al primo sospetto clinico</c:v>
                </c:pt>
                <c:pt idx="1">
                  <c:v>Dopo i risultati degli esami</c:v>
                </c:pt>
                <c:pt idx="2">
                  <c:v>Dopo la visita specialistica</c:v>
                </c:pt>
                <c:pt idx="3">
                  <c:v>Demando allo specialista</c:v>
                </c:pt>
                <c:pt idx="4">
                  <c:v>Nessuna risposta</c:v>
                </c:pt>
              </c:strCache>
            </c:strRef>
          </c:cat>
          <c:val>
            <c:numRef>
              <c:f>Foglio1!$B$68:$B$72</c:f>
              <c:numCache>
                <c:formatCode>General</c:formatCode>
                <c:ptCount val="5"/>
                <c:pt idx="0">
                  <c:v>20</c:v>
                </c:pt>
                <c:pt idx="1">
                  <c:v>24</c:v>
                </c:pt>
                <c:pt idx="2">
                  <c:v>15</c:v>
                </c:pt>
                <c:pt idx="3">
                  <c:v>13</c:v>
                </c:pt>
                <c:pt idx="4">
                  <c:v>4</c:v>
                </c:pt>
              </c:numCache>
            </c:numRef>
          </c:val>
          <c:extLst xmlns:c16r2="http://schemas.microsoft.com/office/drawing/2015/06/chart">
            <c:ext xmlns:c16="http://schemas.microsoft.com/office/drawing/2014/chart" uri="{C3380CC4-5D6E-409C-BE32-E72D297353CC}">
              <c16:uniqueId val="{00000000-466A-42A8-B494-AE72F1259BF1}"/>
            </c:ext>
          </c:extLst>
        </c:ser>
        <c:dLbls>
          <c:dLblPos val="outEnd"/>
          <c:showLegendKey val="0"/>
          <c:showVal val="1"/>
          <c:showCatName val="0"/>
          <c:showSerName val="0"/>
          <c:showPercent val="0"/>
          <c:showBubbleSize val="0"/>
        </c:dLbls>
        <c:gapWidth val="219"/>
        <c:overlap val="-27"/>
        <c:axId val="504994688"/>
        <c:axId val="504989984"/>
      </c:barChart>
      <c:catAx>
        <c:axId val="5049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89984"/>
        <c:crosses val="autoZero"/>
        <c:auto val="1"/>
        <c:lblAlgn val="ctr"/>
        <c:lblOffset val="100"/>
        <c:noMultiLvlLbl val="0"/>
      </c:catAx>
      <c:valAx>
        <c:axId val="50498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4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Terapia iniziale nel paziente con arterite gigantocellulare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Foglio1!$A$76:$A$82</c:f>
              <c:strCache>
                <c:ptCount val="7"/>
                <c:pt idx="0">
                  <c:v>Prednisone &gt;50mg/die</c:v>
                </c:pt>
                <c:pt idx="1">
                  <c:v>Prednisone 25-50mg/die</c:v>
                </c:pt>
                <c:pt idx="2">
                  <c:v>Prednisone &lt;25mg/die</c:v>
                </c:pt>
                <c:pt idx="3">
                  <c:v>Prednisone 1mg/kg</c:v>
                </c:pt>
                <c:pt idx="4">
                  <c:v>Prednisone 25-50mg/die con ASA e FANS</c:v>
                </c:pt>
                <c:pt idx="5">
                  <c:v>Prednisone secondo prescrizione del reumatologo</c:v>
                </c:pt>
                <c:pt idx="6">
                  <c:v>Nessuna risposta </c:v>
                </c:pt>
              </c:strCache>
            </c:strRef>
          </c:cat>
          <c:val>
            <c:numRef>
              <c:f>Foglio1!$B$76:$B$82</c:f>
              <c:numCache>
                <c:formatCode>General</c:formatCode>
                <c:ptCount val="7"/>
                <c:pt idx="0">
                  <c:v>26</c:v>
                </c:pt>
                <c:pt idx="1">
                  <c:v>40</c:v>
                </c:pt>
                <c:pt idx="2">
                  <c:v>0</c:v>
                </c:pt>
                <c:pt idx="3">
                  <c:v>1</c:v>
                </c:pt>
                <c:pt idx="4">
                  <c:v>1</c:v>
                </c:pt>
                <c:pt idx="5">
                  <c:v>1</c:v>
                </c:pt>
                <c:pt idx="6">
                  <c:v>7</c:v>
                </c:pt>
              </c:numCache>
            </c:numRef>
          </c:val>
          <c:extLst xmlns:c16r2="http://schemas.microsoft.com/office/drawing/2015/06/chart">
            <c:ext xmlns:c16="http://schemas.microsoft.com/office/drawing/2014/chart" uri="{C3380CC4-5D6E-409C-BE32-E72D297353CC}">
              <c16:uniqueId val="{00000000-1B36-4C4A-89EC-1F4D2D78270E}"/>
            </c:ext>
          </c:extLst>
        </c:ser>
        <c:dLbls>
          <c:dLblPos val="outEnd"/>
          <c:showLegendKey val="0"/>
          <c:showVal val="1"/>
          <c:showCatName val="0"/>
          <c:showSerName val="0"/>
          <c:showPercent val="0"/>
          <c:showBubbleSize val="0"/>
        </c:dLbls>
        <c:gapWidth val="219"/>
        <c:overlap val="-27"/>
        <c:axId val="504990376"/>
        <c:axId val="504993120"/>
      </c:barChart>
      <c:catAx>
        <c:axId val="50499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3120"/>
        <c:crosses val="autoZero"/>
        <c:auto val="1"/>
        <c:lblAlgn val="ctr"/>
        <c:lblOffset val="100"/>
        <c:noMultiLvlLbl val="0"/>
      </c:catAx>
      <c:valAx>
        <c:axId val="50499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0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Foglio1!$A$1:$A$2</c:f>
              <c:strCache>
                <c:ptCount val="2"/>
                <c:pt idx="0">
                  <c:v>&gt;20 anni di attività</c:v>
                </c:pt>
                <c:pt idx="1">
                  <c:v>&lt;20 anni di attività</c:v>
                </c:pt>
              </c:strCache>
            </c:strRef>
          </c:cat>
          <c:val>
            <c:numRef>
              <c:f>Foglio1!$B$1:$B$2</c:f>
              <c:numCache>
                <c:formatCode>General</c:formatCode>
                <c:ptCount val="2"/>
                <c:pt idx="0">
                  <c:v>23</c:v>
                </c:pt>
                <c:pt idx="1">
                  <c:v>6</c:v>
                </c:pt>
              </c:numCache>
            </c:numRef>
          </c:val>
          <c:extLst xmlns:c16r2="http://schemas.microsoft.com/office/drawing/2015/06/chart">
            <c:ext xmlns:c16="http://schemas.microsoft.com/office/drawing/2014/chart" uri="{C3380CC4-5D6E-409C-BE32-E72D297353CC}">
              <c16:uniqueId val="{00000000-829D-4B7B-98BA-13AFDCE4CDF9}"/>
            </c:ext>
          </c:extLst>
        </c:ser>
        <c:dLbls>
          <c:dLblPos val="outEnd"/>
          <c:showLegendKey val="0"/>
          <c:showVal val="1"/>
          <c:showCatName val="0"/>
          <c:showSerName val="0"/>
          <c:showPercent val="0"/>
          <c:showBubbleSize val="0"/>
        </c:dLbls>
        <c:gapWidth val="219"/>
        <c:overlap val="-27"/>
        <c:axId val="504989200"/>
        <c:axId val="504986064"/>
      </c:barChart>
      <c:catAx>
        <c:axId val="50498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86064"/>
        <c:crosses val="autoZero"/>
        <c:auto val="1"/>
        <c:lblAlgn val="ctr"/>
        <c:lblOffset val="100"/>
        <c:noMultiLvlLbl val="0"/>
      </c:catAx>
      <c:valAx>
        <c:axId val="50498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89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Numero di assistiti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Foglio1!$A$1:$A$4</c:f>
              <c:strCache>
                <c:ptCount val="4"/>
                <c:pt idx="0">
                  <c:v>1-500 pazienti</c:v>
                </c:pt>
                <c:pt idx="1">
                  <c:v>501-1000 pazienti</c:v>
                </c:pt>
                <c:pt idx="2">
                  <c:v>&gt;1000 pazienti</c:v>
                </c:pt>
                <c:pt idx="3">
                  <c:v>Nessuna risposta</c:v>
                </c:pt>
              </c:strCache>
            </c:strRef>
          </c:cat>
          <c:val>
            <c:numRef>
              <c:f>Foglio1!$B$1:$B$4</c:f>
              <c:numCache>
                <c:formatCode>General</c:formatCode>
                <c:ptCount val="4"/>
                <c:pt idx="0">
                  <c:v>17</c:v>
                </c:pt>
                <c:pt idx="1">
                  <c:v>8</c:v>
                </c:pt>
                <c:pt idx="2">
                  <c:v>47</c:v>
                </c:pt>
                <c:pt idx="3">
                  <c:v>4</c:v>
                </c:pt>
              </c:numCache>
            </c:numRef>
          </c:val>
          <c:extLst xmlns:c16r2="http://schemas.microsoft.com/office/drawing/2015/06/chart">
            <c:ext xmlns:c16="http://schemas.microsoft.com/office/drawing/2014/chart" uri="{C3380CC4-5D6E-409C-BE32-E72D297353CC}">
              <c16:uniqueId val="{00000000-D6F5-442F-966E-413B08AC2261}"/>
            </c:ext>
          </c:extLst>
        </c:ser>
        <c:dLbls>
          <c:dLblPos val="outEnd"/>
          <c:showLegendKey val="0"/>
          <c:showVal val="1"/>
          <c:showCatName val="0"/>
          <c:showSerName val="0"/>
          <c:showPercent val="0"/>
          <c:showBubbleSize val="0"/>
        </c:dLbls>
        <c:gapWidth val="219"/>
        <c:overlap val="-27"/>
        <c:axId val="502746752"/>
        <c:axId val="502747144"/>
      </c:barChart>
      <c:catAx>
        <c:axId val="5027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747144"/>
        <c:crosses val="autoZero"/>
        <c:auto val="1"/>
        <c:lblAlgn val="ctr"/>
        <c:lblOffset val="100"/>
        <c:noMultiLvlLbl val="0"/>
      </c:catAx>
      <c:valAx>
        <c:axId val="502747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746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200"/>
              <a:t>Nuovi</a:t>
            </a:r>
            <a:r>
              <a:rPr lang="it-IT" sz="1200" baseline="0"/>
              <a:t> p</a:t>
            </a:r>
            <a:r>
              <a:rPr lang="it-IT" sz="1200"/>
              <a:t>azienti con AGC visti</a:t>
            </a:r>
            <a:r>
              <a:rPr lang="it-IT" sz="1200" baseline="0"/>
              <a:t> dal MMG in un anno</a:t>
            </a:r>
          </a:p>
          <a:p>
            <a:pPr>
              <a:defRPr/>
            </a:pPr>
            <a:r>
              <a:rPr lang="it-IT" sz="1200" baseline="0"/>
              <a:t>(incidenza)</a:t>
            </a:r>
            <a:endParaRPr lang="it-IT" sz="1200"/>
          </a:p>
        </c:rich>
      </c:tx>
      <c:layout>
        <c:manualLayout>
          <c:xMode val="edge"/>
          <c:yMode val="edge"/>
          <c:x val="0.15971579583479903"/>
          <c:y val="3.94738268335927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Foglio1!$A$9:$A$13</c:f>
              <c:strCache>
                <c:ptCount val="5"/>
                <c:pt idx="0">
                  <c:v>nessun caso all'anno</c:v>
                </c:pt>
                <c:pt idx="1">
                  <c:v>1-2 casi all'anno</c:v>
                </c:pt>
                <c:pt idx="2">
                  <c:v>3-4 casi all'anno</c:v>
                </c:pt>
                <c:pt idx="3">
                  <c:v>&gt;4 casi all'anno</c:v>
                </c:pt>
                <c:pt idx="4">
                  <c:v>Nessuna risposta</c:v>
                </c:pt>
              </c:strCache>
            </c:strRef>
          </c:cat>
          <c:val>
            <c:numRef>
              <c:f>Foglio1!$B$9:$B$13</c:f>
              <c:numCache>
                <c:formatCode>General</c:formatCode>
                <c:ptCount val="5"/>
                <c:pt idx="0">
                  <c:v>33</c:v>
                </c:pt>
                <c:pt idx="1">
                  <c:v>42</c:v>
                </c:pt>
                <c:pt idx="2">
                  <c:v>0</c:v>
                </c:pt>
                <c:pt idx="3">
                  <c:v>0</c:v>
                </c:pt>
                <c:pt idx="4">
                  <c:v>1</c:v>
                </c:pt>
              </c:numCache>
            </c:numRef>
          </c:val>
          <c:extLst xmlns:c16r2="http://schemas.microsoft.com/office/drawing/2015/06/chart">
            <c:ext xmlns:c16="http://schemas.microsoft.com/office/drawing/2014/chart" uri="{C3380CC4-5D6E-409C-BE32-E72D297353CC}">
              <c16:uniqueId val="{00000000-7AF6-4FB1-A07C-0FCB89874F2E}"/>
            </c:ext>
          </c:extLst>
        </c:ser>
        <c:dLbls>
          <c:dLblPos val="outEnd"/>
          <c:showLegendKey val="0"/>
          <c:showVal val="1"/>
          <c:showCatName val="0"/>
          <c:showSerName val="0"/>
          <c:showPercent val="0"/>
          <c:showBubbleSize val="0"/>
        </c:dLbls>
        <c:gapWidth val="219"/>
        <c:overlap val="-27"/>
        <c:axId val="496670816"/>
        <c:axId val="496668856"/>
      </c:barChart>
      <c:catAx>
        <c:axId val="49667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6668856"/>
        <c:crosses val="autoZero"/>
        <c:auto val="1"/>
        <c:lblAlgn val="ctr"/>
        <c:lblOffset val="100"/>
        <c:noMultiLvlLbl val="0"/>
      </c:catAx>
      <c:valAx>
        <c:axId val="496668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6670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200"/>
              <a:t>Numero medio di pazienti con AGC seguiti dai MMG </a:t>
            </a:r>
          </a:p>
          <a:p>
            <a:pPr>
              <a:defRPr/>
            </a:pPr>
            <a:r>
              <a:rPr lang="it-IT" baseline="0"/>
              <a:t> </a:t>
            </a:r>
            <a:r>
              <a:rPr lang="it-IT" sz="1200" baseline="0"/>
              <a:t>(prevalenza)</a:t>
            </a:r>
            <a:endParaRPr lang="it-IT" sz="1200"/>
          </a:p>
        </c:rich>
      </c:tx>
      <c:layout>
        <c:manualLayout>
          <c:xMode val="edge"/>
          <c:yMode val="edge"/>
          <c:x val="0.15234995348682681"/>
          <c:y val="4.5662221515239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Foglio1!$A$18:$A$22</c:f>
              <c:strCache>
                <c:ptCount val="5"/>
                <c:pt idx="0">
                  <c:v>0-2 pazienti</c:v>
                </c:pt>
                <c:pt idx="1">
                  <c:v>3-10 pazienti</c:v>
                </c:pt>
                <c:pt idx="2">
                  <c:v>11-20 pazienti</c:v>
                </c:pt>
                <c:pt idx="3">
                  <c:v>&gt; 20 pazienti</c:v>
                </c:pt>
                <c:pt idx="4">
                  <c:v>Nessuna risposta</c:v>
                </c:pt>
              </c:strCache>
            </c:strRef>
          </c:cat>
          <c:val>
            <c:numRef>
              <c:f>Foglio1!$B$18:$B$22</c:f>
              <c:numCache>
                <c:formatCode>General</c:formatCode>
                <c:ptCount val="5"/>
                <c:pt idx="0">
                  <c:v>70</c:v>
                </c:pt>
                <c:pt idx="1">
                  <c:v>5</c:v>
                </c:pt>
                <c:pt idx="2">
                  <c:v>0</c:v>
                </c:pt>
                <c:pt idx="3">
                  <c:v>0</c:v>
                </c:pt>
                <c:pt idx="4">
                  <c:v>1</c:v>
                </c:pt>
              </c:numCache>
            </c:numRef>
          </c:val>
          <c:extLst xmlns:c16r2="http://schemas.microsoft.com/office/drawing/2015/06/chart">
            <c:ext xmlns:c16="http://schemas.microsoft.com/office/drawing/2014/chart" uri="{C3380CC4-5D6E-409C-BE32-E72D297353CC}">
              <c16:uniqueId val="{00000000-87FA-450F-94CC-A32DE57573EC}"/>
            </c:ext>
          </c:extLst>
        </c:ser>
        <c:dLbls>
          <c:dLblPos val="outEnd"/>
          <c:showLegendKey val="0"/>
          <c:showVal val="1"/>
          <c:showCatName val="0"/>
          <c:showSerName val="0"/>
          <c:showPercent val="0"/>
          <c:showBubbleSize val="0"/>
        </c:dLbls>
        <c:gapWidth val="219"/>
        <c:overlap val="-27"/>
        <c:axId val="496671208"/>
        <c:axId val="430038024"/>
      </c:barChart>
      <c:catAx>
        <c:axId val="49667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30038024"/>
        <c:crosses val="autoZero"/>
        <c:auto val="1"/>
        <c:lblAlgn val="ctr"/>
        <c:lblOffset val="100"/>
        <c:noMultiLvlLbl val="0"/>
      </c:catAx>
      <c:valAx>
        <c:axId val="430038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6671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Fascia di età più rappresentata tra</a:t>
            </a:r>
            <a:r>
              <a:rPr lang="it-IT" baseline="0"/>
              <a:t> i</a:t>
            </a:r>
            <a:r>
              <a:rPr lang="it-IT"/>
              <a:t> pazienti affetti da arterite a cellule giganti</a:t>
            </a:r>
          </a:p>
        </c:rich>
      </c:tx>
      <c:layout>
        <c:manualLayout>
          <c:xMode val="edge"/>
          <c:yMode val="edge"/>
          <c:x val="0.13148073022312373"/>
          <c:y val="4.56273764258555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Foglio1!$A$2:$A$4</c:f>
              <c:strCache>
                <c:ptCount val="3"/>
                <c:pt idx="0">
                  <c:v>40-50 anni</c:v>
                </c:pt>
                <c:pt idx="1">
                  <c:v>&gt;51 anni</c:v>
                </c:pt>
                <c:pt idx="2">
                  <c:v>Nessuna risposta</c:v>
                </c:pt>
              </c:strCache>
            </c:strRef>
          </c:cat>
          <c:val>
            <c:numRef>
              <c:f>Foglio1!$B$2:$B$4</c:f>
              <c:numCache>
                <c:formatCode>General</c:formatCode>
                <c:ptCount val="3"/>
                <c:pt idx="0">
                  <c:v>7</c:v>
                </c:pt>
                <c:pt idx="1">
                  <c:v>63</c:v>
                </c:pt>
                <c:pt idx="2">
                  <c:v>6</c:v>
                </c:pt>
              </c:numCache>
            </c:numRef>
          </c:val>
          <c:extLst xmlns:c16r2="http://schemas.microsoft.com/office/drawing/2015/06/chart">
            <c:ext xmlns:c16="http://schemas.microsoft.com/office/drawing/2014/chart" uri="{C3380CC4-5D6E-409C-BE32-E72D297353CC}">
              <c16:uniqueId val="{00000000-1D92-48A6-A1A2-8FB29C15CA5B}"/>
            </c:ext>
          </c:extLst>
        </c:ser>
        <c:dLbls>
          <c:dLblPos val="outEnd"/>
          <c:showLegendKey val="0"/>
          <c:showVal val="1"/>
          <c:showCatName val="0"/>
          <c:showSerName val="0"/>
          <c:showPercent val="0"/>
          <c:showBubbleSize val="0"/>
        </c:dLbls>
        <c:gapWidth val="219"/>
        <c:overlap val="-27"/>
        <c:axId val="430032144"/>
        <c:axId val="430032536"/>
      </c:barChart>
      <c:catAx>
        <c:axId val="43003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30032536"/>
        <c:crosses val="autoZero"/>
        <c:auto val="1"/>
        <c:lblAlgn val="ctr"/>
        <c:lblOffset val="100"/>
        <c:noMultiLvlLbl val="0"/>
      </c:catAx>
      <c:valAx>
        <c:axId val="430032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30032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Manifestazione clinica più frequente</a:t>
            </a:r>
            <a:r>
              <a:rPr lang="it-IT" baseline="0"/>
              <a:t> nei propri pazienti</a:t>
            </a:r>
            <a:endParaRPr lang="it-IT"/>
          </a:p>
        </c:rich>
      </c:tx>
      <c:layout>
        <c:manualLayout>
          <c:xMode val="edge"/>
          <c:yMode val="edge"/>
          <c:x val="0.11815322653633813"/>
          <c:y val="3.85804972052911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Foglio1!$A$26:$A$30</c:f>
              <c:strCache>
                <c:ptCount val="5"/>
                <c:pt idx="0">
                  <c:v>Segni sistemici</c:v>
                </c:pt>
                <c:pt idx="1">
                  <c:v>Cefalea di nuova insorgenza</c:v>
                </c:pt>
                <c:pt idx="2">
                  <c:v>Artralgie </c:v>
                </c:pt>
                <c:pt idx="3">
                  <c:v>Disturbi della vista</c:v>
                </c:pt>
                <c:pt idx="4">
                  <c:v>Nessuna risposta</c:v>
                </c:pt>
              </c:strCache>
            </c:strRef>
          </c:cat>
          <c:val>
            <c:numRef>
              <c:f>Foglio1!$B$26:$B$30</c:f>
              <c:numCache>
                <c:formatCode>General</c:formatCode>
                <c:ptCount val="5"/>
                <c:pt idx="0">
                  <c:v>8</c:v>
                </c:pt>
                <c:pt idx="1">
                  <c:v>54</c:v>
                </c:pt>
                <c:pt idx="2">
                  <c:v>4</c:v>
                </c:pt>
                <c:pt idx="3">
                  <c:v>3</c:v>
                </c:pt>
                <c:pt idx="4">
                  <c:v>7</c:v>
                </c:pt>
              </c:numCache>
            </c:numRef>
          </c:val>
          <c:extLst xmlns:c16r2="http://schemas.microsoft.com/office/drawing/2015/06/chart">
            <c:ext xmlns:c16="http://schemas.microsoft.com/office/drawing/2014/chart" uri="{C3380CC4-5D6E-409C-BE32-E72D297353CC}">
              <c16:uniqueId val="{00000000-D31B-4F21-B435-FB3B68BE8072}"/>
            </c:ext>
          </c:extLst>
        </c:ser>
        <c:dLbls>
          <c:dLblPos val="outEnd"/>
          <c:showLegendKey val="0"/>
          <c:showVal val="1"/>
          <c:showCatName val="0"/>
          <c:showSerName val="0"/>
          <c:showPercent val="0"/>
          <c:showBubbleSize val="0"/>
        </c:dLbls>
        <c:gapWidth val="219"/>
        <c:overlap val="-27"/>
        <c:axId val="495772960"/>
        <c:axId val="495767864"/>
      </c:barChart>
      <c:catAx>
        <c:axId val="4957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5767864"/>
        <c:crosses val="autoZero"/>
        <c:auto val="1"/>
        <c:lblAlgn val="ctr"/>
        <c:lblOffset val="100"/>
        <c:noMultiLvlLbl val="0"/>
      </c:catAx>
      <c:valAx>
        <c:axId val="49576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5772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Esami di laboratorio richiesti</a:t>
            </a:r>
          </a:p>
        </c:rich>
      </c:tx>
      <c:layout>
        <c:manualLayout>
          <c:xMode val="edge"/>
          <c:yMode val="edge"/>
          <c:x val="0.27980538577256159"/>
          <c:y val="3.53980471090631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Foglio1!$A$34:$A$38</c:f>
              <c:strCache>
                <c:ptCount val="5"/>
                <c:pt idx="0">
                  <c:v>VES/PCR</c:v>
                </c:pt>
                <c:pt idx="1">
                  <c:v>Emocromo</c:v>
                </c:pt>
                <c:pt idx="2">
                  <c:v>RA test/ Ac anticitrullina</c:v>
                </c:pt>
                <c:pt idx="3">
                  <c:v>Tutti i precedenti</c:v>
                </c:pt>
                <c:pt idx="4">
                  <c:v>Nessuna risposta</c:v>
                </c:pt>
              </c:strCache>
            </c:strRef>
          </c:cat>
          <c:val>
            <c:numRef>
              <c:f>Foglio1!$B$34:$B$38</c:f>
              <c:numCache>
                <c:formatCode>General</c:formatCode>
                <c:ptCount val="5"/>
                <c:pt idx="0">
                  <c:v>24</c:v>
                </c:pt>
                <c:pt idx="1">
                  <c:v>0</c:v>
                </c:pt>
                <c:pt idx="2">
                  <c:v>0</c:v>
                </c:pt>
                <c:pt idx="3">
                  <c:v>48</c:v>
                </c:pt>
                <c:pt idx="4">
                  <c:v>4</c:v>
                </c:pt>
              </c:numCache>
            </c:numRef>
          </c:val>
          <c:extLst xmlns:c16r2="http://schemas.microsoft.com/office/drawing/2015/06/chart">
            <c:ext xmlns:c16="http://schemas.microsoft.com/office/drawing/2014/chart" uri="{C3380CC4-5D6E-409C-BE32-E72D297353CC}">
              <c16:uniqueId val="{00000000-B9A4-4896-9FFC-E6905428514C}"/>
            </c:ext>
          </c:extLst>
        </c:ser>
        <c:dLbls>
          <c:dLblPos val="outEnd"/>
          <c:showLegendKey val="0"/>
          <c:showVal val="1"/>
          <c:showCatName val="0"/>
          <c:showSerName val="0"/>
          <c:showPercent val="0"/>
          <c:showBubbleSize val="0"/>
        </c:dLbls>
        <c:gapWidth val="219"/>
        <c:overlap val="-27"/>
        <c:axId val="424950944"/>
        <c:axId val="504996648"/>
      </c:barChart>
      <c:catAx>
        <c:axId val="4249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6648"/>
        <c:crosses val="autoZero"/>
        <c:auto val="1"/>
        <c:lblAlgn val="ctr"/>
        <c:lblOffset val="100"/>
        <c:noMultiLvlLbl val="0"/>
      </c:catAx>
      <c:valAx>
        <c:axId val="50499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24950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Elementi</a:t>
            </a:r>
            <a:r>
              <a:rPr lang="it-IT" baseline="0"/>
              <a:t> su cui ci si basa per formulare la diagnosi* </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Foglio1!$A$42:$A$45</c:f>
              <c:strCache>
                <c:ptCount val="4"/>
                <c:pt idx="0">
                  <c:v>Presentazione clinica</c:v>
                </c:pt>
                <c:pt idx="1">
                  <c:v>Biopsia TA</c:v>
                </c:pt>
                <c:pt idx="2">
                  <c:v>Imaging</c:v>
                </c:pt>
                <c:pt idx="3">
                  <c:v>Nessuna risposta</c:v>
                </c:pt>
              </c:strCache>
            </c:strRef>
          </c:cat>
          <c:val>
            <c:numRef>
              <c:f>Foglio1!$B$42:$B$45</c:f>
              <c:numCache>
                <c:formatCode>General</c:formatCode>
                <c:ptCount val="4"/>
                <c:pt idx="0">
                  <c:v>39</c:v>
                </c:pt>
                <c:pt idx="1">
                  <c:v>35</c:v>
                </c:pt>
                <c:pt idx="2">
                  <c:v>16</c:v>
                </c:pt>
                <c:pt idx="3">
                  <c:v>5</c:v>
                </c:pt>
              </c:numCache>
            </c:numRef>
          </c:val>
          <c:extLst xmlns:c16r2="http://schemas.microsoft.com/office/drawing/2015/06/chart">
            <c:ext xmlns:c16="http://schemas.microsoft.com/office/drawing/2014/chart" uri="{C3380CC4-5D6E-409C-BE32-E72D297353CC}">
              <c16:uniqueId val="{00000000-3940-4A64-9734-84BC5C347D48}"/>
            </c:ext>
          </c:extLst>
        </c:ser>
        <c:dLbls>
          <c:dLblPos val="outEnd"/>
          <c:showLegendKey val="0"/>
          <c:showVal val="1"/>
          <c:showCatName val="0"/>
          <c:showSerName val="0"/>
          <c:showPercent val="0"/>
          <c:showBubbleSize val="0"/>
        </c:dLbls>
        <c:gapWidth val="219"/>
        <c:overlap val="-27"/>
        <c:axId val="504998216"/>
        <c:axId val="504996256"/>
      </c:barChart>
      <c:catAx>
        <c:axId val="50499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6256"/>
        <c:crosses val="autoZero"/>
        <c:auto val="1"/>
        <c:lblAlgn val="ctr"/>
        <c:lblOffset val="100"/>
        <c:noMultiLvlLbl val="0"/>
      </c:catAx>
      <c:valAx>
        <c:axId val="5049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8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Tecnica di imaging di scelta </a:t>
            </a:r>
          </a:p>
        </c:rich>
      </c:tx>
      <c:layout>
        <c:manualLayout>
          <c:xMode val="edge"/>
          <c:yMode val="edge"/>
          <c:x val="0.29015824006175223"/>
          <c:y val="4.20609884332281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Foglio1!$A$50:$A$54</c:f>
              <c:strCache>
                <c:ptCount val="5"/>
                <c:pt idx="0">
                  <c:v>Ecografia</c:v>
                </c:pt>
                <c:pt idx="1">
                  <c:v>TC con MdC o RM</c:v>
                </c:pt>
                <c:pt idx="2">
                  <c:v>PET</c:v>
                </c:pt>
                <c:pt idx="3">
                  <c:v>Non utilizzo tecniche di imaging</c:v>
                </c:pt>
                <c:pt idx="4">
                  <c:v>Nessuna risposta</c:v>
                </c:pt>
              </c:strCache>
            </c:strRef>
          </c:cat>
          <c:val>
            <c:numRef>
              <c:f>Foglio1!$B$50:$B$54</c:f>
              <c:numCache>
                <c:formatCode>General</c:formatCode>
                <c:ptCount val="5"/>
                <c:pt idx="0">
                  <c:v>16</c:v>
                </c:pt>
                <c:pt idx="1">
                  <c:v>15</c:v>
                </c:pt>
                <c:pt idx="2">
                  <c:v>1</c:v>
                </c:pt>
                <c:pt idx="3">
                  <c:v>29</c:v>
                </c:pt>
                <c:pt idx="4">
                  <c:v>15</c:v>
                </c:pt>
              </c:numCache>
            </c:numRef>
          </c:val>
          <c:extLst xmlns:c16r2="http://schemas.microsoft.com/office/drawing/2015/06/chart">
            <c:ext xmlns:c16="http://schemas.microsoft.com/office/drawing/2014/chart" uri="{C3380CC4-5D6E-409C-BE32-E72D297353CC}">
              <c16:uniqueId val="{00000000-7C1D-45AF-9B1F-1D6F103359D2}"/>
            </c:ext>
          </c:extLst>
        </c:ser>
        <c:dLbls>
          <c:dLblPos val="outEnd"/>
          <c:showLegendKey val="0"/>
          <c:showVal val="1"/>
          <c:showCatName val="0"/>
          <c:showSerName val="0"/>
          <c:showPercent val="0"/>
          <c:showBubbleSize val="0"/>
        </c:dLbls>
        <c:gapWidth val="219"/>
        <c:overlap val="-27"/>
        <c:axId val="504997432"/>
        <c:axId val="504997824"/>
      </c:barChart>
      <c:catAx>
        <c:axId val="50499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7824"/>
        <c:crosses val="autoZero"/>
        <c:auto val="1"/>
        <c:lblAlgn val="ctr"/>
        <c:lblOffset val="100"/>
        <c:noMultiLvlLbl val="0"/>
      </c:catAx>
      <c:valAx>
        <c:axId val="50499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4997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Mar93</b:Tag>
    <b:SourceType>JournalArticle</b:SourceType>
    <b:Guid>{82C14685-7702-415B-811F-BEA302182CB3}</b:Guid>
    <b:Title>Impact of conceptus mass on glucose disposal rate in pregnant women</b:Title>
    <b:Year>1993</b:Year>
    <b:Author>
      <b:Author>
        <b:NameList>
          <b:Person>
            <b:Last>Marconi A.M.</b:Last>
            <b:First>Davoli</b:First>
            <b:Middle>E., Lanfranchi A., Zerbe G., Fanelli R., Fennessey P., Pardi G., Battaglia F.C.</b:Middle>
          </b:Person>
        </b:NameList>
      </b:Author>
    </b:Author>
    <b:JournalName>Journal Pediatrics</b:JournalName>
    <b:Pages>1.264-4</b:Pages>
    <b:RefOrder>2</b:RefOrder>
  </b:Source>
  <b:Source>
    <b:Tag>Kin95</b:Tag>
    <b:SourceType>JournalArticle</b:SourceType>
    <b:Guid>{FF8824FB-C2C4-42F4-8837-D96CB01098BB}</b:Guid>
    <b:Author>
      <b:Author>
        <b:NameList>
          <b:Person>
            <b:Last>L.</b:Last>
            <b:First>Kinard</b:First>
            <b:Middle>T. and Satin</b:Middle>
          </b:Person>
        </b:NameList>
      </b:Author>
    </b:Author>
    <b:Title>An ATP-sensitive Cl-channel current that is activated by cell swelling, cAMP and glyburide in insulin-secreting cells</b:Title>
    <b:JournalName>American Diabetes Association</b:JournalName>
    <b:Year>1995</b:Year>
    <b:Pages>44:12-1461:6</b:Pages>
    <b:RefOrder>1</b:RefOrder>
  </b:Source>
</b:Sources>
</file>

<file path=customXml/itemProps1.xml><?xml version="1.0" encoding="utf-8"?>
<ds:datastoreItem xmlns:ds="http://schemas.openxmlformats.org/officeDocument/2006/customXml" ds:itemID="{D0607C00-4B81-4A05-82E6-27E0E44A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TotalTime>
  <Pages>78</Pages>
  <Words>89671</Words>
  <Characters>511128</Characters>
  <Application>Microsoft Office Word</Application>
  <DocSecurity>0</DocSecurity>
  <Lines>4259</Lines>
  <Paragraphs>1199</Paragraphs>
  <ScaleCrop>false</ScaleCrop>
  <HeadingPairs>
    <vt:vector size="2" baseType="variant">
      <vt:variant>
        <vt:lpstr>Titolo</vt:lpstr>
      </vt:variant>
      <vt:variant>
        <vt:i4>1</vt:i4>
      </vt:variant>
    </vt:vector>
  </HeadingPairs>
  <TitlesOfParts>
    <vt:vector size="1" baseType="lpstr">
      <vt:lpstr/>
    </vt:vector>
  </TitlesOfParts>
  <Company>B. &amp;  C.</Company>
  <LinksUpToDate>false</LinksUpToDate>
  <CharactersWithSpaces>599600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Buscemi Carola</dc:creator>
  <cp:lastModifiedBy>Andrea Stimamiglio</cp:lastModifiedBy>
  <cp:revision>320</cp:revision>
  <dcterms:created xsi:type="dcterms:W3CDTF">2011-07-07T10:23:00Z</dcterms:created>
  <dcterms:modified xsi:type="dcterms:W3CDTF">2019-07-13T14:46:00Z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3bfaf487-a952-369c-993c-670372cc5c23</vt:lpwstr>
  </property>
  <property fmtid="{D5CDD505-2E9C-101B-9397-08002B2CF9AE}" pid="24" name="Mendeley Citation Style_1">
    <vt:lpwstr>http://www.zotero.org/styles/american-medical-association</vt:lpwstr>
  </property>
</Properties>
</file>